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D863" w14:textId="3FAF70B4" w:rsidR="00674136" w:rsidRDefault="00674136" w:rsidP="00674136">
      <w:pPr>
        <w:rPr>
          <w:rFonts w:ascii="Arial" w:hAnsi="Arial" w:cs="Arial"/>
        </w:rPr>
      </w:pPr>
    </w:p>
    <w:p w14:paraId="7CF82207" w14:textId="77777777" w:rsidR="00674136" w:rsidRDefault="00674136" w:rsidP="00674136">
      <w:pPr>
        <w:rPr>
          <w:rFonts w:ascii="Arial" w:hAnsi="Arial" w:cs="Arial"/>
        </w:rPr>
      </w:pPr>
    </w:p>
    <w:p w14:paraId="31F8AAB8" w14:textId="77777777" w:rsidR="00674136" w:rsidRDefault="00674136" w:rsidP="00674136">
      <w:pPr>
        <w:rPr>
          <w:rFonts w:ascii="Arial" w:hAnsi="Arial" w:cs="Arial"/>
        </w:rPr>
      </w:pPr>
    </w:p>
    <w:p w14:paraId="201C6711" w14:textId="77777777" w:rsidR="00674136" w:rsidRDefault="00674136" w:rsidP="00674136">
      <w:pPr>
        <w:rPr>
          <w:rFonts w:ascii="Arial" w:hAnsi="Arial" w:cs="Arial"/>
        </w:rPr>
      </w:pPr>
    </w:p>
    <w:p w14:paraId="164A7AC8" w14:textId="2BBA2B50" w:rsidR="00674136" w:rsidRPr="008D75DC" w:rsidRDefault="00674136" w:rsidP="00674136">
      <w:pPr>
        <w:rPr>
          <w:rFonts w:ascii="Arial" w:hAnsi="Arial" w:cs="Arial"/>
        </w:rPr>
      </w:pPr>
      <w:r w:rsidRPr="008D75DC">
        <w:rPr>
          <w:rFonts w:ascii="Arial" w:hAnsi="Arial" w:cs="Arial"/>
        </w:rPr>
        <w:t>GIMNAZIJA DR. IVANA KRANJČEVA</w:t>
      </w:r>
    </w:p>
    <w:p w14:paraId="42551908" w14:textId="77777777" w:rsidR="00674136" w:rsidRPr="008D75DC" w:rsidRDefault="00674136" w:rsidP="00674136">
      <w:pPr>
        <w:rPr>
          <w:rFonts w:ascii="Arial" w:hAnsi="Arial" w:cs="Arial"/>
        </w:rPr>
      </w:pPr>
      <w:r w:rsidRPr="008D75DC">
        <w:rPr>
          <w:rFonts w:ascii="Arial" w:hAnsi="Arial" w:cs="Arial"/>
        </w:rPr>
        <w:t>ĐURĐEVAC</w:t>
      </w:r>
    </w:p>
    <w:p w14:paraId="55AE2198" w14:textId="77777777" w:rsidR="00674136" w:rsidRPr="008D75DC" w:rsidRDefault="00674136" w:rsidP="00674136">
      <w:pPr>
        <w:rPr>
          <w:rFonts w:ascii="Arial" w:hAnsi="Arial" w:cs="Arial"/>
        </w:rPr>
      </w:pPr>
      <w:r w:rsidRPr="008D75DC">
        <w:rPr>
          <w:rFonts w:ascii="Arial" w:hAnsi="Arial" w:cs="Arial"/>
        </w:rPr>
        <w:t>Dr. Ivana Kranjčeva 5</w:t>
      </w:r>
    </w:p>
    <w:p w14:paraId="144BAE52" w14:textId="77777777" w:rsidR="00674136" w:rsidRPr="008D75DC" w:rsidRDefault="00674136" w:rsidP="00674136">
      <w:pPr>
        <w:rPr>
          <w:rFonts w:ascii="Arial" w:hAnsi="Arial" w:cs="Arial"/>
        </w:rPr>
      </w:pPr>
      <w:r w:rsidRPr="008D75DC">
        <w:rPr>
          <w:rFonts w:ascii="Arial" w:hAnsi="Arial" w:cs="Arial"/>
        </w:rPr>
        <w:t>Đurđevac</w:t>
      </w:r>
    </w:p>
    <w:p w14:paraId="366B3B0F" w14:textId="77777777" w:rsidR="00674136" w:rsidRPr="000358C2" w:rsidRDefault="00674136" w:rsidP="00674136">
      <w:pPr>
        <w:rPr>
          <w:rFonts w:ascii="Arial" w:hAnsi="Arial" w:cs="Arial"/>
          <w:sz w:val="20"/>
          <w:szCs w:val="20"/>
        </w:rPr>
      </w:pPr>
      <w:r w:rsidRPr="000358C2">
        <w:rPr>
          <w:rFonts w:ascii="Arial" w:hAnsi="Arial" w:cs="Arial"/>
          <w:sz w:val="20"/>
          <w:szCs w:val="20"/>
        </w:rPr>
        <w:t>OIB:21120261369</w:t>
      </w:r>
    </w:p>
    <w:p w14:paraId="4AC57BED" w14:textId="4F017DBE" w:rsidR="00674136" w:rsidRPr="00840263" w:rsidRDefault="00674136" w:rsidP="00674136">
      <w:pPr>
        <w:rPr>
          <w:rFonts w:ascii="Arial" w:hAnsi="Arial" w:cs="Arial"/>
          <w:sz w:val="20"/>
          <w:szCs w:val="20"/>
        </w:rPr>
      </w:pPr>
      <w:r w:rsidRPr="00840263">
        <w:rPr>
          <w:rFonts w:ascii="Arial" w:hAnsi="Arial" w:cs="Arial"/>
          <w:sz w:val="20"/>
          <w:szCs w:val="20"/>
        </w:rPr>
        <w:t>KLASA:400-04/2</w:t>
      </w:r>
      <w:r w:rsidR="00840263" w:rsidRPr="00840263">
        <w:rPr>
          <w:rFonts w:ascii="Arial" w:hAnsi="Arial" w:cs="Arial"/>
          <w:sz w:val="20"/>
          <w:szCs w:val="20"/>
        </w:rPr>
        <w:t>6</w:t>
      </w:r>
      <w:r w:rsidRPr="00840263">
        <w:rPr>
          <w:rFonts w:ascii="Arial" w:hAnsi="Arial" w:cs="Arial"/>
          <w:sz w:val="20"/>
          <w:szCs w:val="20"/>
        </w:rPr>
        <w:t>-01/</w:t>
      </w:r>
      <w:r w:rsidR="00840263" w:rsidRPr="00840263">
        <w:rPr>
          <w:rFonts w:ascii="Arial" w:hAnsi="Arial" w:cs="Arial"/>
          <w:sz w:val="20"/>
          <w:szCs w:val="20"/>
        </w:rPr>
        <w:t>1</w:t>
      </w:r>
    </w:p>
    <w:p w14:paraId="153005E5" w14:textId="00CAF3B6" w:rsidR="00674136" w:rsidRPr="00840263" w:rsidRDefault="00674136" w:rsidP="00674136">
      <w:pPr>
        <w:rPr>
          <w:rFonts w:ascii="Arial" w:hAnsi="Arial" w:cs="Arial"/>
          <w:sz w:val="20"/>
          <w:szCs w:val="20"/>
        </w:rPr>
      </w:pPr>
      <w:r w:rsidRPr="00840263">
        <w:rPr>
          <w:rFonts w:ascii="Arial" w:hAnsi="Arial" w:cs="Arial"/>
          <w:sz w:val="20"/>
          <w:szCs w:val="20"/>
        </w:rPr>
        <w:t>URBROJ:2137-52-2</w:t>
      </w:r>
      <w:r w:rsidR="00840263" w:rsidRPr="00840263">
        <w:rPr>
          <w:rFonts w:ascii="Arial" w:hAnsi="Arial" w:cs="Arial"/>
          <w:sz w:val="20"/>
          <w:szCs w:val="20"/>
        </w:rPr>
        <w:t>6</w:t>
      </w:r>
      <w:r w:rsidRPr="00840263">
        <w:rPr>
          <w:rFonts w:ascii="Arial" w:hAnsi="Arial" w:cs="Arial"/>
          <w:sz w:val="20"/>
          <w:szCs w:val="20"/>
        </w:rPr>
        <w:t>-01</w:t>
      </w:r>
    </w:p>
    <w:p w14:paraId="6E5EF103" w14:textId="5726DD69" w:rsidR="00674136" w:rsidRPr="00840263" w:rsidRDefault="00674136" w:rsidP="00674136">
      <w:pPr>
        <w:rPr>
          <w:rFonts w:ascii="Arial" w:hAnsi="Arial" w:cs="Arial"/>
          <w:sz w:val="20"/>
          <w:szCs w:val="20"/>
        </w:rPr>
      </w:pPr>
      <w:r w:rsidRPr="00840263">
        <w:rPr>
          <w:rFonts w:ascii="Arial" w:hAnsi="Arial" w:cs="Arial"/>
          <w:sz w:val="20"/>
          <w:szCs w:val="20"/>
        </w:rPr>
        <w:t>Đurđevac,</w:t>
      </w:r>
      <w:r w:rsidR="00051939">
        <w:rPr>
          <w:rFonts w:ascii="Arial" w:hAnsi="Arial" w:cs="Arial"/>
          <w:sz w:val="20"/>
          <w:szCs w:val="20"/>
        </w:rPr>
        <w:t>06.03</w:t>
      </w:r>
      <w:r w:rsidR="00840263" w:rsidRPr="00840263">
        <w:rPr>
          <w:rFonts w:ascii="Arial" w:hAnsi="Arial" w:cs="Arial"/>
          <w:sz w:val="20"/>
          <w:szCs w:val="20"/>
        </w:rPr>
        <w:t>.2026.</w:t>
      </w:r>
    </w:p>
    <w:p w14:paraId="4B510397" w14:textId="77777777" w:rsidR="00674136" w:rsidRPr="008D75DC" w:rsidRDefault="00674136" w:rsidP="00674136">
      <w:pPr>
        <w:rPr>
          <w:rFonts w:ascii="Arial" w:hAnsi="Arial" w:cs="Arial"/>
        </w:rPr>
      </w:pPr>
    </w:p>
    <w:p w14:paraId="7E03894D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68B739D1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58320807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126ACD1C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264B7979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387FE9AE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1E348012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5F21ED6E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339E8C53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647A0D30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3958DDC1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213FFD7F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2EECB672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4A200DED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4AC3271F" w14:textId="3EB2E83B" w:rsidR="00674136" w:rsidRPr="00E722C7" w:rsidRDefault="00674136" w:rsidP="0067413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GODIŠNJ</w:t>
      </w:r>
      <w:r w:rsidR="00A974CA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 w:rsidRPr="00E722C7">
        <w:rPr>
          <w:rFonts w:ascii="Arial" w:hAnsi="Arial" w:cs="Arial"/>
          <w:sz w:val="28"/>
          <w:szCs w:val="28"/>
        </w:rPr>
        <w:t>IZVJEŠTAJ O IZVRŠENJU</w:t>
      </w:r>
    </w:p>
    <w:p w14:paraId="3BC0AAED" w14:textId="77777777" w:rsidR="00674136" w:rsidRDefault="00674136" w:rsidP="00674136">
      <w:pPr>
        <w:jc w:val="center"/>
        <w:rPr>
          <w:rFonts w:ascii="Arial" w:hAnsi="Arial" w:cs="Arial"/>
          <w:sz w:val="28"/>
          <w:szCs w:val="28"/>
        </w:rPr>
      </w:pPr>
      <w:r w:rsidRPr="00E722C7">
        <w:rPr>
          <w:rFonts w:ascii="Arial" w:hAnsi="Arial" w:cs="Arial"/>
          <w:sz w:val="28"/>
          <w:szCs w:val="28"/>
        </w:rPr>
        <w:t>FINANCIJSKOG PLANA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96A17B1" w14:textId="77777777" w:rsidR="00674136" w:rsidRPr="00E722C7" w:rsidRDefault="00674136" w:rsidP="0067413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GIMNAZIJE DR. IVANA KRANJČEVA ĐURĐEVAC</w:t>
      </w:r>
    </w:p>
    <w:p w14:paraId="261BDA16" w14:textId="45DE52FC" w:rsidR="00674136" w:rsidRPr="00E722C7" w:rsidRDefault="00674136" w:rsidP="00674136">
      <w:pPr>
        <w:jc w:val="center"/>
        <w:rPr>
          <w:rFonts w:ascii="Arial" w:hAnsi="Arial" w:cs="Arial"/>
          <w:sz w:val="28"/>
          <w:szCs w:val="28"/>
        </w:rPr>
      </w:pPr>
      <w:r w:rsidRPr="00E722C7">
        <w:rPr>
          <w:rFonts w:ascii="Arial" w:hAnsi="Arial" w:cs="Arial"/>
          <w:sz w:val="28"/>
          <w:szCs w:val="28"/>
        </w:rPr>
        <w:t>ZA</w:t>
      </w:r>
      <w:r w:rsidR="00E84FE2">
        <w:rPr>
          <w:rFonts w:ascii="Arial" w:hAnsi="Arial" w:cs="Arial"/>
          <w:sz w:val="28"/>
          <w:szCs w:val="28"/>
        </w:rPr>
        <w:t xml:space="preserve"> RAZDOBLJE 1.1.-3</w:t>
      </w:r>
      <w:r w:rsidR="00C46084">
        <w:rPr>
          <w:rFonts w:ascii="Arial" w:hAnsi="Arial" w:cs="Arial"/>
          <w:sz w:val="28"/>
          <w:szCs w:val="28"/>
        </w:rPr>
        <w:t>1</w:t>
      </w:r>
      <w:r w:rsidR="00A67CB2">
        <w:rPr>
          <w:rFonts w:ascii="Arial" w:hAnsi="Arial" w:cs="Arial"/>
          <w:sz w:val="28"/>
          <w:szCs w:val="28"/>
        </w:rPr>
        <w:t>.</w:t>
      </w:r>
      <w:r w:rsidR="00C46084">
        <w:rPr>
          <w:rFonts w:ascii="Arial" w:hAnsi="Arial" w:cs="Arial"/>
          <w:sz w:val="28"/>
          <w:szCs w:val="28"/>
        </w:rPr>
        <w:t>12</w:t>
      </w:r>
      <w:r w:rsidRPr="00E722C7">
        <w:rPr>
          <w:rFonts w:ascii="Arial" w:hAnsi="Arial" w:cs="Arial"/>
          <w:sz w:val="28"/>
          <w:szCs w:val="28"/>
        </w:rPr>
        <w:t>.</w:t>
      </w:r>
      <w:r w:rsidR="00A67CB2">
        <w:rPr>
          <w:rFonts w:ascii="Arial" w:hAnsi="Arial" w:cs="Arial"/>
          <w:sz w:val="28"/>
          <w:szCs w:val="28"/>
        </w:rPr>
        <w:t>2025.</w:t>
      </w:r>
      <w:r w:rsidRPr="00E722C7">
        <w:rPr>
          <w:rFonts w:ascii="Arial" w:hAnsi="Arial" w:cs="Arial"/>
          <w:sz w:val="28"/>
          <w:szCs w:val="28"/>
        </w:rPr>
        <w:t xml:space="preserve"> GODINE</w:t>
      </w:r>
    </w:p>
    <w:p w14:paraId="158A5057" w14:textId="77777777" w:rsidR="00674136" w:rsidRDefault="00674136" w:rsidP="00674136">
      <w:pPr>
        <w:widowControl/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14:paraId="7638E4FB" w14:textId="77777777" w:rsidR="00674136" w:rsidRDefault="00674136" w:rsidP="00674136">
      <w:pPr>
        <w:widowControl/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14:paraId="6B5A740F" w14:textId="77777777" w:rsidR="00702840" w:rsidRDefault="00702840"/>
    <w:p w14:paraId="3F1BC3E5" w14:textId="77777777" w:rsidR="00674136" w:rsidRDefault="00674136"/>
    <w:p w14:paraId="02FCCE1A" w14:textId="77777777" w:rsidR="00674136" w:rsidRDefault="00674136"/>
    <w:p w14:paraId="14A8ED6E" w14:textId="77777777" w:rsidR="00674136" w:rsidRDefault="00674136"/>
    <w:p w14:paraId="0DB9D1F0" w14:textId="77777777" w:rsidR="00674136" w:rsidRDefault="00674136"/>
    <w:p w14:paraId="1C3EEF8B" w14:textId="77777777" w:rsidR="00674136" w:rsidRDefault="00674136"/>
    <w:p w14:paraId="652175CF" w14:textId="77777777" w:rsidR="00674136" w:rsidRDefault="00674136"/>
    <w:p w14:paraId="64F477D3" w14:textId="77777777" w:rsidR="00674136" w:rsidRDefault="00674136"/>
    <w:p w14:paraId="21A3A3BE" w14:textId="77777777" w:rsidR="00674136" w:rsidRDefault="00674136"/>
    <w:p w14:paraId="6E96B2D4" w14:textId="77777777" w:rsidR="00674136" w:rsidRDefault="00674136"/>
    <w:p w14:paraId="0230363B" w14:textId="77777777" w:rsidR="00674136" w:rsidRDefault="00674136"/>
    <w:p w14:paraId="3F5F5700" w14:textId="77777777" w:rsidR="00674136" w:rsidRDefault="00674136"/>
    <w:p w14:paraId="6266CD55" w14:textId="77777777" w:rsidR="00674136" w:rsidRDefault="00674136"/>
    <w:p w14:paraId="5BED0A53" w14:textId="77777777" w:rsidR="00674136" w:rsidRDefault="00674136"/>
    <w:p w14:paraId="57E53EE0" w14:textId="77777777" w:rsidR="00674136" w:rsidRDefault="00674136"/>
    <w:p w14:paraId="64244ACE" w14:textId="77777777" w:rsidR="00674136" w:rsidRDefault="00674136"/>
    <w:p w14:paraId="196A25A9" w14:textId="77777777" w:rsidR="00674136" w:rsidRDefault="00674136"/>
    <w:p w14:paraId="0956BA04" w14:textId="77777777" w:rsidR="00674136" w:rsidRDefault="00674136"/>
    <w:p w14:paraId="0A44274F" w14:textId="77777777" w:rsidR="00674136" w:rsidRDefault="00674136"/>
    <w:p w14:paraId="43085A21" w14:textId="77777777" w:rsidR="00ED3814" w:rsidRDefault="00ED3814"/>
    <w:tbl>
      <w:tblPr>
        <w:tblW w:w="19021" w:type="dxa"/>
        <w:tblLayout w:type="fixed"/>
        <w:tblLook w:val="04A0" w:firstRow="1" w:lastRow="0" w:firstColumn="1" w:lastColumn="0" w:noHBand="0" w:noVBand="1"/>
      </w:tblPr>
      <w:tblGrid>
        <w:gridCol w:w="4499"/>
        <w:gridCol w:w="7727"/>
        <w:gridCol w:w="67"/>
        <w:gridCol w:w="1405"/>
        <w:gridCol w:w="315"/>
        <w:gridCol w:w="1157"/>
        <w:gridCol w:w="583"/>
        <w:gridCol w:w="889"/>
        <w:gridCol w:w="856"/>
        <w:gridCol w:w="519"/>
        <w:gridCol w:w="281"/>
        <w:gridCol w:w="61"/>
        <w:gridCol w:w="236"/>
        <w:gridCol w:w="426"/>
      </w:tblGrid>
      <w:tr w:rsidR="00ED3814" w:rsidRPr="00ED3814" w14:paraId="4B427D67" w14:textId="77777777" w:rsidTr="001D10BD">
        <w:trPr>
          <w:gridAfter w:val="1"/>
          <w:wAfter w:w="426" w:type="dxa"/>
          <w:trHeight w:val="330"/>
        </w:trPr>
        <w:tc>
          <w:tcPr>
            <w:tcW w:w="18595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1E089B8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1A8563AB" w14:textId="77777777" w:rsidTr="001D10BD">
        <w:trPr>
          <w:gridAfter w:val="1"/>
          <w:wAfter w:w="426" w:type="dxa"/>
          <w:trHeight w:val="165"/>
        </w:trPr>
        <w:tc>
          <w:tcPr>
            <w:tcW w:w="1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086F" w14:textId="77777777" w:rsid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14:paraId="1A6DDCC2" w14:textId="77777777" w:rsid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tbl>
            <w:tblPr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872"/>
              <w:gridCol w:w="1478"/>
              <w:gridCol w:w="1478"/>
              <w:gridCol w:w="1478"/>
              <w:gridCol w:w="859"/>
              <w:gridCol w:w="520"/>
              <w:gridCol w:w="339"/>
              <w:gridCol w:w="222"/>
              <w:gridCol w:w="14"/>
            </w:tblGrid>
            <w:tr w:rsidR="008422E0" w:rsidRPr="008422E0" w14:paraId="549FCFF6" w14:textId="77777777" w:rsidTr="001D10BD">
              <w:trPr>
                <w:gridAfter w:val="1"/>
                <w:wAfter w:w="14" w:type="dxa"/>
                <w:trHeight w:val="330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063EB0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  <w:t>GODIŠNJI IZVJEŠTAJ O IZVRŠENJU FINANCIJSKOG PLANA ZA 2025. GODINU</w:t>
                  </w:r>
                </w:p>
              </w:tc>
            </w:tr>
            <w:tr w:rsidR="008422E0" w:rsidRPr="008422E0" w14:paraId="606C52AE" w14:textId="77777777" w:rsidTr="001D10BD">
              <w:trPr>
                <w:trHeight w:val="165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F9EB09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BA6381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881E48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EA8DE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A11819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673EA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39A32A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53CDA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1F77EB8A" w14:textId="77777777" w:rsidTr="001D10BD">
              <w:trPr>
                <w:gridAfter w:val="1"/>
                <w:wAfter w:w="14" w:type="dxa"/>
                <w:trHeight w:val="285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ACD519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  <w:t>1. OPĆI DIO</w:t>
                  </w:r>
                </w:p>
              </w:tc>
            </w:tr>
            <w:tr w:rsidR="008422E0" w:rsidRPr="008422E0" w14:paraId="23FAC21D" w14:textId="77777777" w:rsidTr="001D10BD">
              <w:trPr>
                <w:trHeight w:val="240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93BD3C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CF9829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D564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3C58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D767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612C9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B904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4A8C73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1ABDB4C1" w14:textId="77777777" w:rsidTr="001D10BD">
              <w:trPr>
                <w:gridAfter w:val="1"/>
                <w:wAfter w:w="14" w:type="dxa"/>
                <w:trHeight w:val="270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F59E10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  <w:t>1.1. SAŽETAK RAČUNA PRIHODA I RASHODA I RAČUNA FINANCIRANJA</w:t>
                  </w:r>
                </w:p>
              </w:tc>
            </w:tr>
            <w:tr w:rsidR="008422E0" w:rsidRPr="008422E0" w14:paraId="34986E8C" w14:textId="77777777" w:rsidTr="001D10BD">
              <w:trPr>
                <w:trHeight w:val="345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BFF51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0EB0E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A545BD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7149EF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2E53C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50E02B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4BA86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4658B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60D9DD33" w14:textId="77777777" w:rsidTr="001D10BD">
              <w:trPr>
                <w:gridAfter w:val="1"/>
                <w:wAfter w:w="14" w:type="dxa"/>
                <w:trHeight w:val="255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D5BDA9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  <w:t>A) SAŽETAK RAČUNA PRIHODA I RASHODA</w:t>
                  </w:r>
                </w:p>
              </w:tc>
            </w:tr>
            <w:tr w:rsidR="008422E0" w:rsidRPr="008422E0" w14:paraId="141FB80F" w14:textId="77777777" w:rsidTr="001D10BD">
              <w:trPr>
                <w:trHeight w:val="255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07E172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085D1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A6DA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4C970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49A8DA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F827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9D162E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89B6F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8422E0" w14:paraId="5C8BD322" w14:textId="77777777" w:rsidTr="001D10BD">
              <w:trPr>
                <w:trHeight w:val="720"/>
              </w:trPr>
              <w:tc>
                <w:tcPr>
                  <w:tcW w:w="3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E4DCE9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FB98BC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1F1FB7" w14:textId="113CE5FC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108AE5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31.12.2025.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AD3DBE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2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697F5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A08E9C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2C5384E3" w14:textId="77777777" w:rsidTr="001D10BD">
              <w:trPr>
                <w:trHeight w:val="285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2F9EBB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E974E6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369D41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3BB0A2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F437E1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10847C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B76968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4413E2E0" w14:textId="77777777" w:rsidTr="001D10BD">
              <w:trPr>
                <w:trHeight w:val="495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B1DC498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UKUPNO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00BC3AC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831.121,85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E5E9020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939.961,75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CCBF20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875.018,60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7106DDA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105,28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C531B56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93,09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C9598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2C6C5BBB" w14:textId="77777777" w:rsidTr="001D10BD">
              <w:trPr>
                <w:trHeight w:val="480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F3928D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4A09A2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831.121,85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606098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939.961,75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6691C5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875.018,60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F2F149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105,28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1F3246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93,09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D8561C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14BD6E5A" w14:textId="77777777" w:rsidTr="001D10BD">
              <w:trPr>
                <w:trHeight w:val="480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07E136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57AB02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485620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1CE0C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7A290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541C6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21D5E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06B6DC40" w14:textId="77777777" w:rsidTr="001D10BD">
              <w:trPr>
                <w:trHeight w:val="495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23F25F2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UKUPNO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B9F980C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821.556,23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498C3C1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991.894,16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39A69D9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961.103,43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5DBA68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116,99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68FD305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96,90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9F421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2ECCD3BE" w14:textId="77777777" w:rsidTr="001D10BD">
              <w:trPr>
                <w:trHeight w:val="480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2C34B4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 RASHODI POSLOVANJA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EEB2BC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811.843,20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4BABDE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967.606,13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0D27C2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941.419,30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BB1B96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115,96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1E28BA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97,29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D3C3C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7E647358" w14:textId="77777777" w:rsidTr="001D10BD">
              <w:trPr>
                <w:trHeight w:val="495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E3E2F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85CC87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9.713,03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0451DA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24.288,03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C4FDDF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19.684,13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4C4082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202,66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5395AB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81,04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A17DCF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59ADC995" w14:textId="77777777" w:rsidTr="001D10BD">
              <w:trPr>
                <w:trHeight w:val="480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EA9EEA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RAZLIKA - VIŠAK / MANJAK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834737A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9.565,62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F3ED2D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-51.932,41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82B021C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-86.084,83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4FC9FA5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A8574FB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165,76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E5745D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6B0A0AFF" w14:textId="77777777" w:rsidTr="001D10BD">
              <w:trPr>
                <w:trHeight w:val="345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1B430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E64A1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B52E32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A05D6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7EBC22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43293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5238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00715E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7FA55225" w14:textId="77777777" w:rsidTr="001D10BD">
              <w:trPr>
                <w:gridAfter w:val="1"/>
                <w:wAfter w:w="14" w:type="dxa"/>
                <w:trHeight w:val="255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54CF65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  <w:t>B) SAŽETAK RAČUNA FINANCIRANJA</w:t>
                  </w:r>
                </w:p>
              </w:tc>
            </w:tr>
            <w:tr w:rsidR="008422E0" w:rsidRPr="008422E0" w14:paraId="28EEE072" w14:textId="77777777" w:rsidTr="001D10BD">
              <w:trPr>
                <w:trHeight w:val="165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4D4A69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2C401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A370B2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273B4D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1ABC42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B50E29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ED211A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B8CA1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8422E0" w14:paraId="18F353EC" w14:textId="77777777" w:rsidTr="001D10BD">
              <w:trPr>
                <w:trHeight w:val="720"/>
              </w:trPr>
              <w:tc>
                <w:tcPr>
                  <w:tcW w:w="3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2534BA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64B012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C3569E" w14:textId="09B699EC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DEA817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31.12.2025.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E364A4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98C78F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CACF0" w14:textId="77777777" w:rsidR="00956092" w:rsidRPr="008422E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49DDB33A" w14:textId="77777777" w:rsidTr="001D10BD">
              <w:trPr>
                <w:trHeight w:val="285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E74B51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414050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4D0764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21685D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AD73E1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434C24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CCCE9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087B182D" w14:textId="77777777" w:rsidTr="001D10BD">
              <w:trPr>
                <w:trHeight w:val="480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3194D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278445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0A438D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CE550E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A1FC4F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595737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39DD6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48E7B01A" w14:textId="77777777" w:rsidTr="001D10BD">
              <w:trPr>
                <w:trHeight w:val="480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5B2C5E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C210ED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103AD3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AD8B9E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D1F381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77842B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16131A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00DE6783" w14:textId="77777777" w:rsidTr="001D10BD">
              <w:trPr>
                <w:trHeight w:val="495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B5B9F6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NETO FINANCIRANJE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4FEF09D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3616185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9E704C9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EAF41D9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47E0FD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32045F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338F9B9E" w14:textId="77777777" w:rsidTr="001D10BD">
              <w:trPr>
                <w:trHeight w:val="345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35CC8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F34861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2C9C9B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0F1C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72DF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3A2C34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E7C7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B9B634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096995C7" w14:textId="77777777" w:rsidTr="001D10BD">
              <w:trPr>
                <w:gridAfter w:val="1"/>
                <w:wAfter w:w="14" w:type="dxa"/>
                <w:trHeight w:val="255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51D51E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  <w:t>C) PRENESENI VIŠAK ILI PRENESENI MANJAK</w:t>
                  </w:r>
                </w:p>
              </w:tc>
            </w:tr>
            <w:tr w:rsidR="008422E0" w:rsidRPr="008422E0" w14:paraId="2EC5D9C4" w14:textId="77777777" w:rsidTr="001D10BD">
              <w:trPr>
                <w:trHeight w:val="135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A39769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F45FC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0A22F6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EC2BE2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5C41E3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8719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0981D2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C62D54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7A9C6F87" w14:textId="77777777" w:rsidTr="001D10BD">
              <w:trPr>
                <w:trHeight w:val="735"/>
              </w:trPr>
              <w:tc>
                <w:tcPr>
                  <w:tcW w:w="3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3FFD68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E96A60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A2DEC8" w14:textId="02A5EE6C" w:rsidR="008422E0" w:rsidRPr="008422E0" w:rsidRDefault="00956092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="008422E0"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498CE0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31.12.2025.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AE4EA2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2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0B6E00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87C4FA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67165675" w14:textId="77777777" w:rsidTr="001D10BD">
              <w:trPr>
                <w:trHeight w:val="285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6F7D89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2FD565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1A81B9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EF5DC4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ECED97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6374FA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8B5A5B" w14:textId="77777777" w:rsidR="008422E0" w:rsidRPr="008422E0" w:rsidRDefault="008422E0" w:rsidP="008422E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2D2FF540" w14:textId="77777777" w:rsidTr="001D10BD">
              <w:trPr>
                <w:trHeight w:val="480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9A9A9"/>
                  <w:vAlign w:val="center"/>
                  <w:hideMark/>
                </w:tcPr>
                <w:p w14:paraId="5EFFBB04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 UKUPAN DONOS VIŠKA / MANJKA IZ PRETHODNIH GODINA*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9A9A9"/>
                  <w:vAlign w:val="center"/>
                  <w:hideMark/>
                </w:tcPr>
                <w:p w14:paraId="13B6739B" w14:textId="46A24511" w:rsidR="008422E0" w:rsidRPr="008422E0" w:rsidRDefault="00956092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27.787,67</w:t>
                  </w:r>
                  <w:r w:rsidR="008422E0"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9A9A9"/>
                  <w:vAlign w:val="center"/>
                  <w:hideMark/>
                </w:tcPr>
                <w:p w14:paraId="597DAB0B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51.932,41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9A9A9"/>
                  <w:vAlign w:val="center"/>
                  <w:hideMark/>
                </w:tcPr>
                <w:p w14:paraId="4517A581" w14:textId="747F0FE7" w:rsidR="008422E0" w:rsidRPr="008422E0" w:rsidRDefault="00D12284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15.470,67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9A9A9"/>
                  <w:vAlign w:val="center"/>
                  <w:hideMark/>
                </w:tcPr>
                <w:p w14:paraId="37351DE8" w14:textId="40BF1826" w:rsidR="008422E0" w:rsidRPr="008422E0" w:rsidRDefault="001D10BD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55,67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9A9A9"/>
                  <w:vAlign w:val="center"/>
                  <w:hideMark/>
                </w:tcPr>
                <w:p w14:paraId="0BC9112B" w14:textId="3000FDB7" w:rsidR="008422E0" w:rsidRPr="008422E0" w:rsidRDefault="009821F8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0,10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A467D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2E8AD333" w14:textId="77777777" w:rsidTr="001D10BD">
              <w:trPr>
                <w:trHeight w:val="480"/>
              </w:trPr>
              <w:tc>
                <w:tcPr>
                  <w:tcW w:w="3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3E06BCC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 VIŠAK / MANJAK IZ PRETHODNIH GODINA KOJI ĆE SE RASPOREDITI / POKRITI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39438E3" w14:textId="41F85717" w:rsidR="008422E0" w:rsidRPr="008422E0" w:rsidRDefault="00956092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27.787,67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8575D1F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51.932,41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A9C1D17" w14:textId="0F7136D5" w:rsidR="008422E0" w:rsidRPr="008422E0" w:rsidRDefault="00D12284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15.470,67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214E95B" w14:textId="755F1E2A" w:rsidR="008422E0" w:rsidRPr="008422E0" w:rsidRDefault="001D10BD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55,67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748EE0B" w14:textId="26D92479" w:rsidR="008422E0" w:rsidRPr="008422E0" w:rsidRDefault="009821F8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0,10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11FB9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7CB02447" w14:textId="77777777" w:rsidTr="001D10BD">
              <w:trPr>
                <w:trHeight w:val="402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D520F3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5DC073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CE221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6BEA9F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14BF69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FFFD54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A665B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9146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10E47055" w14:textId="77777777" w:rsidTr="001D10BD">
              <w:trPr>
                <w:trHeight w:val="510"/>
              </w:trPr>
              <w:tc>
                <w:tcPr>
                  <w:tcW w:w="3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6CC3D6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VIŠAK / MANJAK + NETO FINANCIRANJE + PRENESENI REZULTAT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A1AEF3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C181B0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98F583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F5B64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31B2AB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A00B75" w14:textId="77777777" w:rsidR="008422E0" w:rsidRPr="008422E0" w:rsidRDefault="008422E0" w:rsidP="008422E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22E0" w:rsidRPr="008422E0" w14:paraId="53EDDBBA" w14:textId="77777777" w:rsidTr="001D10BD">
              <w:trPr>
                <w:trHeight w:val="360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624C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DAD1A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68AE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A7158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AF8C3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628BB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F56A3F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F9C45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25A5CFAE" w14:textId="77777777" w:rsidTr="001D10BD">
              <w:trPr>
                <w:trHeight w:val="1065"/>
              </w:trPr>
              <w:tc>
                <w:tcPr>
                  <w:tcW w:w="968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134928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Napomena: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EA7485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850F38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422E0" w:rsidRPr="008422E0" w14:paraId="638CC523" w14:textId="77777777" w:rsidTr="001D10BD">
              <w:trPr>
                <w:trHeight w:val="300"/>
              </w:trPr>
              <w:tc>
                <w:tcPr>
                  <w:tcW w:w="3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1D151C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FB747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6EC0C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A464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5E070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60102A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58EF2E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C7BF8" w14:textId="77777777" w:rsidR="008422E0" w:rsidRPr="008422E0" w:rsidRDefault="008422E0" w:rsidP="008422E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D9CE00E" w14:textId="77777777" w:rsid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tbl>
            <w:tblPr>
              <w:tblW w:w="10643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340"/>
              <w:gridCol w:w="1720"/>
              <w:gridCol w:w="1740"/>
              <w:gridCol w:w="1740"/>
              <w:gridCol w:w="800"/>
              <w:gridCol w:w="723"/>
            </w:tblGrid>
            <w:tr w:rsidR="00AD33C0" w:rsidRPr="00AD33C0" w14:paraId="61761071" w14:textId="77777777" w:rsidTr="001D10BD">
              <w:trPr>
                <w:trHeight w:val="435"/>
              </w:trPr>
              <w:tc>
                <w:tcPr>
                  <w:tcW w:w="1064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479D9C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  <w:t>1.2. RAČUN PRIHODA I RASHODA</w:t>
                  </w:r>
                </w:p>
              </w:tc>
            </w:tr>
            <w:tr w:rsidR="00AD33C0" w:rsidRPr="00AD33C0" w14:paraId="6C77FE58" w14:textId="77777777" w:rsidTr="001D10BD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61A46A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D28A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3CBC8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A1DB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F260D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B1F2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71AB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D33C0" w:rsidRPr="00AD33C0" w14:paraId="19340A94" w14:textId="77777777" w:rsidTr="001D10BD">
              <w:trPr>
                <w:trHeight w:val="270"/>
              </w:trPr>
              <w:tc>
                <w:tcPr>
                  <w:tcW w:w="1064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657486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 xml:space="preserve">1.2.1. IZVJEŠTAJ O PRIHODIMA I RASHODIMA PREMA EKONOMSKOJ KLASIFIKACIJI </w:t>
                  </w:r>
                </w:p>
              </w:tc>
            </w:tr>
            <w:tr w:rsidR="00AD33C0" w:rsidRPr="00AD33C0" w14:paraId="62DD284B" w14:textId="77777777" w:rsidTr="001D10BD">
              <w:trPr>
                <w:trHeight w:val="42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697B2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766FE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AF4AC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D4A30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7F7BF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C2A72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2DAB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AD33C0" w14:paraId="6EEBB069" w14:textId="77777777" w:rsidTr="001D10BD">
              <w:trPr>
                <w:trHeight w:val="645"/>
              </w:trPr>
              <w:tc>
                <w:tcPr>
                  <w:tcW w:w="39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95FBDA8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8FBABE6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Ostvarenje / izvršenje 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9FE7689" w14:textId="22BB0958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21659C2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Ostvarenje / izvršenje 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31.12.2025.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E7E4836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2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DA50632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AD33C0" w:rsidRPr="00AD33C0" w14:paraId="033FD01B" w14:textId="77777777" w:rsidTr="001D10BD">
              <w:trPr>
                <w:trHeight w:val="195"/>
              </w:trPr>
              <w:tc>
                <w:tcPr>
                  <w:tcW w:w="39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DB9CE9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1F7EB9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4D3E26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560175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82D48B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20E00B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AD33C0" w:rsidRPr="00AD33C0" w14:paraId="6FE6D4BE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1F419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236CD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PRIHODI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14173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831.121,85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CAF33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939.961,75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E1703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875.018,60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9A51F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105,28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47006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93,09</w:t>
                  </w:r>
                </w:p>
              </w:tc>
            </w:tr>
            <w:tr w:rsidR="00AD33C0" w:rsidRPr="00AD33C0" w14:paraId="690E6F76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7C63C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0B97C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CAEE7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831.121,85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2AE2A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939.961,75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4727C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875.018,60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CE76E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105,28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B3714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93,09</w:t>
                  </w:r>
                </w:p>
              </w:tc>
            </w:tr>
            <w:tr w:rsidR="00AD33C0" w:rsidRPr="00AD33C0" w14:paraId="32C7932B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D6EFA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B41E0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F0B5E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781.952,48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7F442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874.688,82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66287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815.847,50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2C369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104,33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36863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93,27</w:t>
                  </w:r>
                </w:p>
              </w:tc>
            </w:tr>
            <w:tr w:rsidR="00AD33C0" w:rsidRPr="00AD33C0" w14:paraId="4B4A8E29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65B26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794AA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325FA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733.450,04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8B97B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47A3A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793.071,25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5E915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108,13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FA959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4A62247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3CAAE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6361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759BB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E2901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733.070,04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BFBF4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1A656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792.311,13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B1135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108,08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4087C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9C9D24F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7DEC1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6362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D6F03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CA613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00894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9EF36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760,12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EDBB3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200,03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3441B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39BEACB3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960FD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638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E9AD1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temeljem prijenosa EU sredstava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A19E5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47.441,40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43A9A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F1FF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21.561,07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09189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45,45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017A5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48C35C15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F4341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6381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7FCAE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Tekuće pomoći temeljem prijenosa EU sredstava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9894C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47.441,40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90765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192F4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21.561,07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38067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45,45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5DFD1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D6B29B7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B06DD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639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73A82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Prijenosi između proračunskih korisnika istog proračuna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05C29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1.061,04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071B6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B43F7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1.215,18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F3FDF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114,53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62D3F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26FBEA8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2C09A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6391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7C148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Tekući prijenosi između proračunskih korisnika istog proračuna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2C615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9F792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F7EDF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54,00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70EEE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8ADDE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83F8C17" w14:textId="77777777" w:rsidTr="001D10BD">
              <w:trPr>
                <w:trHeight w:val="6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F227C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6393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EC8A4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80C9B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1.034,04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C72CB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0C8F3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1.161,18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DF76D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112,3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DFF17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C4F6BD4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EE461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03C43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8C108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62157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DEE9B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BA2AF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0F12C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0,02</w:t>
                  </w:r>
                </w:p>
              </w:tc>
            </w:tr>
            <w:tr w:rsidR="00AD33C0" w:rsidRPr="00AD33C0" w14:paraId="214386AB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E8654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641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8236A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7760B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C5066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923A7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D9937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FA0FF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72D6733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92256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6413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B21E7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Kamate na oročena sredstva i depozite po viđenju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467AB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DF8C8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1E4DF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A2B8E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9D4A0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7C523A45" w14:textId="77777777" w:rsidTr="001D10BD">
              <w:trPr>
                <w:trHeight w:val="6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DCF10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16BFA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C25E8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B12F1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69761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E3B17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1CC22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7,14</w:t>
                  </w:r>
                </w:p>
              </w:tc>
            </w:tr>
            <w:tr w:rsidR="00AD33C0" w:rsidRPr="00AD33C0" w14:paraId="7C939AFC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92736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652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615C6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po posebnim propisima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23BC1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F430F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07B73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0CB55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96785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385896E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ADBFA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6526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9DC76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prihodi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F87A1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6F8D0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814D5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819A3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06EB8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77D9826" w14:textId="77777777" w:rsidTr="001D10BD">
              <w:trPr>
                <w:trHeight w:val="645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F62B7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ED1F6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prodaje proizvoda i robe te pruženih usluga, prihodi od donacija te povrati po protestiranim jamstvima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DBC48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3.343,00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10769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3.332,00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A36EF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2.482,00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E5560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74,24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21D88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74,49</w:t>
                  </w:r>
                </w:p>
              </w:tc>
            </w:tr>
            <w:tr w:rsidR="00AD33C0" w:rsidRPr="00AD33C0" w14:paraId="5935F769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42DE7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5D745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prodaje proizvoda i robe te pruženih usluga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440F4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465,00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0B1E6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9A998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FFD14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0BEAA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0A1735E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6162F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6615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1E862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pruženih usluga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0E747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465,00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97E13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A6B8F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13B7D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80D61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337466D7" w14:textId="77777777" w:rsidTr="001D10BD">
              <w:trPr>
                <w:trHeight w:val="6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D3962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34D23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 od pravnih i fizičkih osoba izvan općeg proračuna te povrat donacija i kapitalnih pomoći po protestiranim jamstvima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71D66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2.878,00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3B3DB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BC02A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2.482,00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BDB03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86,24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1DB34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4B75DDF4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9A261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6631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B40DF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8936E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2.271,00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0C9BF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C7BD8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2.038,00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BEAE6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89,74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34538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C6891A1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D0A70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6632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A51CD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Kapitalne donacije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4F9D9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5DD36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848BB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444,00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F1794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73,15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C735D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62D1019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A7AD3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67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AE28F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669F3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45.826,35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F5E04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61.190,93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A92C6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56.639,09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1A336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123,6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31EBB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92,56</w:t>
                  </w:r>
                </w:p>
              </w:tc>
            </w:tr>
            <w:tr w:rsidR="00AD33C0" w:rsidRPr="00AD33C0" w14:paraId="06D9EA46" w14:textId="77777777" w:rsidTr="001D10BD">
              <w:trPr>
                <w:trHeight w:val="6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CF342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671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11527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iz nadležnog proračuna za financiranje redovne djelatnosti proračunskih korisnika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94F72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45.826,35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DA198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12877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56.639,09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E3D33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123,6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2BEAC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C24C73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FD321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6711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77216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iz nadležnog proračuna za financiranje rashoda poslovanja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48404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37.239,55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D7E7C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E35EE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38.328,32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BDE60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102,92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2E169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3E1F1E0D" w14:textId="77777777" w:rsidTr="001D10BD">
              <w:trPr>
                <w:trHeight w:val="645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FA68D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6712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95937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iz nadležnog proračuna za financiranje rashoda za nabavu nefinancijske imovine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472A6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8.586,80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317F5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EE031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18.310,77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FA74A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213,24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5B2EC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956092" w:rsidRPr="00AD33C0" w14:paraId="3348D357" w14:textId="77777777" w:rsidTr="001D10BD">
              <w:trPr>
                <w:trHeight w:val="645"/>
              </w:trPr>
              <w:tc>
                <w:tcPr>
                  <w:tcW w:w="39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AD0BFAC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556195A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Ostvarenje / izvršenje 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31772CE" w14:textId="6BA7A62C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59C0BE7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Ostvarenje / izvršenje 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31.12.2025.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E813FD6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F7AC0F2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AD33C0" w:rsidRPr="00AD33C0" w14:paraId="135608EE" w14:textId="77777777" w:rsidTr="001D10BD">
              <w:trPr>
                <w:trHeight w:val="195"/>
              </w:trPr>
              <w:tc>
                <w:tcPr>
                  <w:tcW w:w="39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E078C4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85A79B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7BCC2F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550FF9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52A8AF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1E2AA1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AD33C0" w:rsidRPr="00AD33C0" w14:paraId="3674ABD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A14CE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102DD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BB1E2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821.556,23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803C2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991.894,16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9034F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961.103,43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C427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116,99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9FAB2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96,9</w:t>
                  </w:r>
                </w:p>
              </w:tc>
            </w:tr>
            <w:tr w:rsidR="00AD33C0" w:rsidRPr="00AD33C0" w14:paraId="7D6812EE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F0257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D9934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F3F73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811.843,20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5FCC8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967.606,13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361ED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941.419,30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495F1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115,96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D1D86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97,29</w:t>
                  </w:r>
                </w:p>
              </w:tc>
            </w:tr>
            <w:tr w:rsidR="00AD33C0" w:rsidRPr="00AD33C0" w14:paraId="0B6B395D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AB1CB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7858E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F6EB3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726.117,00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AA3C1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859.040,00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CF8D5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854.879,91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6EAE7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117,73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28770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99,52</w:t>
                  </w:r>
                </w:p>
              </w:tc>
            </w:tr>
            <w:tr w:rsidR="00AD33C0" w:rsidRPr="00AD33C0" w14:paraId="7113029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8454E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B979D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Plaće (Bruto)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83B36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601.525,27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8633C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7D76D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711.658,17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45FC1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118,31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E5B9B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86F3BB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56410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3111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0986F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Plaće za redovan rad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8C121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589.484,17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9DF50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CE327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693.693,29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72AAB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117,68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0B094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B52326C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519B7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3113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C502F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Plaće za prekovremeni rad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105B9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12.041,10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963B6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716A7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17.964,88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0ED3E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149,2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E3982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89403A5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65099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2CB93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CA865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26.926,60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9182A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4D93C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25.798,17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2B676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95,81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2B9F8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0AA737E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5C7F4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8A777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15F96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26.926,60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0ECBB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A96A9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25.798,17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6B178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95,81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721C0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4946A0F3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1D63A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85681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F82E5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97.665,13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17ECC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E4125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117.423,57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A18C3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120,23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8C312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0A4B6EB" w14:textId="77777777" w:rsidTr="001D10BD">
              <w:trPr>
                <w:trHeight w:val="525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9966D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3132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0A1FE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Doprinosi za obvezno zdravstveno osiguranje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77327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97.665,13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D8E77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35667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117.423,57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A9156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120,23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A734E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D4F2A44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0A0FA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07D2B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2C63C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85.154,25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FC3E9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107.820,46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F98E9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86.093,72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DFA34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101,1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888B2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79,85</w:t>
                  </w:r>
                </w:p>
              </w:tc>
            </w:tr>
            <w:tr w:rsidR="00AD33C0" w:rsidRPr="00AD33C0" w14:paraId="66CE36F8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15370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ED474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D48E6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32.665,34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7681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12465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33.183,57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21C37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101,59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554F4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7E06438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1FB77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CD1A6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79DB2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5.018,76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D9077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001EC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5.498,11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AA454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109,55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30DEC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35DCB15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719B0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55177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za prijevoz, za rad na terenu i odvojeni život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72D5D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11.616,68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83C67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60D59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7.520,26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EFA58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64,74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AEF0F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8BFB71F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44985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94B51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F426B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16.029,90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7F3CB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49DFD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20.165,20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1D62D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125,8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66D32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8F4E0C2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E0D0F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BD701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83075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6.642,53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BC6EC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F3165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12.819,64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AD1B7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192,99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027FF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E7A135A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5F2FC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B8625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A2AD2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3.716,37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8A3E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15AC3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5.349,43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7D84A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143,94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56514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D767CFF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45316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84D76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 i sirovine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48002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1.709,94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3AB66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7560C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1.895,22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0E321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110,84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A3A17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4F43F52E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A5F48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A32AE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B282F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119,10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561DE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C63C9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124,75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109CF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104,74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629D9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3454B6CF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21CB4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81A19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Sitni inventar i autogume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20FC7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1.097,12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83311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FDEAA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4.594,11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1F2F0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418,74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5CFCA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8D03036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F5E28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3227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FFA81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Službena, radna i zaštitna odjeća i obuća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E02E6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62150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CD193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856,13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4E0A7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F4077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99D672F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D64D6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6339D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AE980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25.404,58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0B949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515B4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24.236,21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27592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95,4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942D6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CBDE41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8C4F7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D1567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EE924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4.371,64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6DB9F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83A68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7.877,55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98373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180,2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8A752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405492A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E31F4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334B4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tekućeg i investicijskog održavanja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DC631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962,50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3852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A85B2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1.270,50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BC9D4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EBD2D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4639B6B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D4CB2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3233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81F9B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promidžbe i informiranja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55F94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80,02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493F8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163DD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28,36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4F0BE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35,44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87F8E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86BD3ED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4E1D0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BC887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Zakupnine i najamnine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CCC8F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3.894,32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45EC4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85CC4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3.941,46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FBEA3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101,21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54E89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771BBD2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AE1A9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3EF77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Zdravstvene i veterinarske usluge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A927B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610,54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655EE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F6084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1.539,61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A84F2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252,17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F1706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702BB389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3F14B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09CD5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17C39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5.016,61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B88C8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F48BE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3.475,32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A8343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69,28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E7581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96ABF98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9383A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3238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2EABA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Računalne usluge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7C2DE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1.998,97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F93FD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132E4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1.980,00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E2B6A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99,05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85F73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7F965E89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44FB4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69344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066A8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8.469,98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31400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72A3A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4.123,41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FD770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48,68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CCA30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420C30F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B5B3A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BA884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0BE25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15.914,47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F7F54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8AA44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10.067,19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CD03D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63,26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195D6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7DA01FA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7E85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3241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C9664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65009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15.914,47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D3878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04140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10.067,19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800D6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63,26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900F1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ED5567B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EA2C6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B5EE7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8B1C6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4.527,33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CDC16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80B34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5.787,11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69989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127,83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1063E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19845F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63840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CDB89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Premije osiguranja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3073B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116,36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D3358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B948E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153,69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2F472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132,08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C9463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ABEC9B2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BFCF5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834F6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Reprezentacija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8AA8E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537,07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7E17C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623AA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1.841,32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70F61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342,85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9E30B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8F8D875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4C91D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84FA8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Pristojbe i naknade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8C7AD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2.171,20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525E5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FA9C6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2.496,00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4E0E7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114,96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8E44F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E3CADFE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94A55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98EF1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18834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1.702,70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70BFF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812EA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1.296,10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E7F19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76,12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2D2DA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39433A1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EBB2B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337D8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63919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D516C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D7069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23A65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B1444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75330BDF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8D5BF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0CE5B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D5B46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760D1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DFE33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1CD55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30C64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FC3D3A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5B5CC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3434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0408C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financijski rashodi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D282A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EA326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9B8F8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DEE5A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1DBC0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F7A412B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9A94F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519AA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A7BB9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101,95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D5249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370,25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E8A0C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6D8EF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68,91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11B5D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18,97</w:t>
                  </w:r>
                </w:p>
              </w:tc>
            </w:tr>
            <w:tr w:rsidR="00AD33C0" w:rsidRPr="00AD33C0" w14:paraId="1C316F6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22C15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369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604C0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Prijenosi između proračunskih korisnika istog proračuna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52449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101,95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1E6C0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246A9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1924D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68,91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A69F1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4554AB78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8A76B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3691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F81C5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Tekući prijenosi između proračunskih korisnika istog proračuna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64571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101,95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6D5E8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D026B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6A849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68,91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6C5DB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A9649AD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4300F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88226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9C7EC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B80BA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A304F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01692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2B70E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574AEDC3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951C5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6CC25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687F2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E335F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375,42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9A180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375,42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99925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92,93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90424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</w:tr>
            <w:tr w:rsidR="00AD33C0" w:rsidRPr="00AD33C0" w14:paraId="63764835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90417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2CFE3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22ACB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4A10E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76340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375,42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B68B1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92,93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01F08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D6A88D8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BD042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3812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613E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Tekuće donacije u naravi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4671C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88294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A53D6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375,42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3238E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92,93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BD68C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4790EB14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10906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8163C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DE0D1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9.713,03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A8AA2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24.288,03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949DF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19.684,13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7CFA0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202,66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919F1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81,04</w:t>
                  </w:r>
                </w:p>
              </w:tc>
            </w:tr>
            <w:tr w:rsidR="00AD33C0" w:rsidRPr="00AD33C0" w14:paraId="4C90D851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97412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AC05D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6895D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9.713,03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4954A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24.288,03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41C56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19.684,13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3E59A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202,66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03459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81,04</w:t>
                  </w:r>
                </w:p>
              </w:tc>
            </w:tr>
            <w:tr w:rsidR="00AD33C0" w:rsidRPr="00AD33C0" w14:paraId="75FD1A45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C772F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91676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3800B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8.115,68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80CF8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A5BCA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18.050,18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43AB0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222,41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064E7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F9A4789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E5D0C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86A0E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D6C1F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2.762,87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DCD01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28D42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4.588,42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5EEFE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166,07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26125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3D88734A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B7018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C258B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Komunikacijska oprema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D1E83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C6D60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0EC0E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1.051,99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0A8A3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658AB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15F34B8D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BBB6A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5BC7B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Oprema za održavanje i zaštitu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0897A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1.888,30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AEF75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54F49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999,00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373EA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52,9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6BA70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7540192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A626C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2B8AB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Medicinska i laboratorijska oprema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75A58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392,23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5C59C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EDF00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4.795,40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1D2AC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1222,6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0015D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38CC63E0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CD3E0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4225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D1029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Instrumenti i uređaji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5CF3E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1.360,18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04F23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CC8B3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1.165,36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0553A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85,68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683BD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C3C3B5B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2047C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6DF74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Sportska i glazbena oprema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B541A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1.712,10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A4871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DFA55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D703F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BF701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0CEE0799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BE0ED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4227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4B2C0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Uređaji, strojevi i oprema za ostale namjene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E5336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F0EF7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1FC9A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5.450,01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86E2B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B3FC9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6B9FEFF1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A62AC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C42F5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Knjige, umjetnička djela i ostale izložbene vrijednosti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582F8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1.597,35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237C7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6A02A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1.633,95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F5517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102,29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43C31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D33C0" w:rsidRPr="00AD33C0" w14:paraId="2C2EDC5F" w14:textId="77777777" w:rsidTr="001D10BD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C4DF4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4241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B72C1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Knjige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2270B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1.597,35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4A6BC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15889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1.633,95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25AD6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102,29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7AD44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</w:tbl>
          <w:p w14:paraId="65224D4A" w14:textId="77777777" w:rsid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14:paraId="50D1B49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7BA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0F4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FD2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7905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8E3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557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1B6F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534794D6" w14:textId="77777777" w:rsidTr="001D10BD">
        <w:trPr>
          <w:gridAfter w:val="1"/>
          <w:wAfter w:w="426" w:type="dxa"/>
          <w:trHeight w:val="600"/>
        </w:trPr>
        <w:tc>
          <w:tcPr>
            <w:tcW w:w="185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2221DE" w14:textId="77777777" w:rsidR="00ED3814" w:rsidRDefault="00ED3814" w:rsidP="00AD33C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hr-HR"/>
              </w:rPr>
            </w:pPr>
          </w:p>
          <w:tbl>
            <w:tblPr>
              <w:tblW w:w="10162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2560"/>
              <w:gridCol w:w="1840"/>
              <w:gridCol w:w="1860"/>
              <w:gridCol w:w="1860"/>
              <w:gridCol w:w="839"/>
              <w:gridCol w:w="723"/>
            </w:tblGrid>
            <w:tr w:rsidR="00AD33C0" w:rsidRPr="00AD33C0" w14:paraId="3140A6FC" w14:textId="77777777" w:rsidTr="001D10BD">
              <w:trPr>
                <w:trHeight w:val="300"/>
              </w:trPr>
              <w:tc>
                <w:tcPr>
                  <w:tcW w:w="1016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0B441C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  <w:t>1.2.2. IZVJEŠTAJ O PRIHODIMA I RASHODIMA PREMA IZVORIMA FINANCIRANJA</w:t>
                  </w:r>
                </w:p>
              </w:tc>
            </w:tr>
            <w:tr w:rsidR="00AD33C0" w:rsidRPr="00AD33C0" w14:paraId="61E98E0A" w14:textId="77777777" w:rsidTr="001D10BD">
              <w:trPr>
                <w:trHeight w:val="3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52EFF6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CC5EC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BAFE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948E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EEA11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A764D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3A83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D33C0" w:rsidRPr="00AD33C0" w14:paraId="50A507EC" w14:textId="77777777" w:rsidTr="001D10BD">
              <w:trPr>
                <w:trHeight w:val="300"/>
              </w:trPr>
              <w:tc>
                <w:tcPr>
                  <w:tcW w:w="1016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FAEEB9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  <w:tr w:rsidR="00AD33C0" w:rsidRPr="00AD33C0" w14:paraId="11321E02" w14:textId="77777777" w:rsidTr="001D10BD">
              <w:trPr>
                <w:trHeight w:val="225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2DC4F8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A4EF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E315C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C7E6F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4398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F681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597D8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AD33C0" w14:paraId="41B2BFC4" w14:textId="77777777" w:rsidTr="001D10BD">
              <w:trPr>
                <w:trHeight w:val="555"/>
              </w:trPr>
              <w:tc>
                <w:tcPr>
                  <w:tcW w:w="30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AB5E467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F082DAB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7CCC254" w14:textId="704674AF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547D5C0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FDFFA4B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E91FD63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AD33C0" w:rsidRPr="00AD33C0" w14:paraId="2B46377F" w14:textId="77777777" w:rsidTr="001D10BD">
              <w:trPr>
                <w:trHeight w:val="225"/>
              </w:trPr>
              <w:tc>
                <w:tcPr>
                  <w:tcW w:w="304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73A556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9A93A2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1E7AF4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5FC46B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FF3EA6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1330DB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AD33C0" w:rsidRPr="00AD33C0" w14:paraId="315B040A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CBD96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5F3AB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PRIHODI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5BC46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831.121,85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8AD2C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939.961,75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C3EB1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875.018,60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1EABF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105,28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B72D8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93,09</w:t>
                  </w:r>
                </w:p>
              </w:tc>
            </w:tr>
            <w:tr w:rsidR="00AD33C0" w:rsidRPr="00AD33C0" w14:paraId="5F19F6B2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B6C5A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CA7A1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BA313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45.826,35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0031F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61.190,93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891EF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56.639,09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7645A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123,60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5AA93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92,56</w:t>
                  </w:r>
                </w:p>
              </w:tc>
            </w:tr>
            <w:tr w:rsidR="00AD33C0" w:rsidRPr="00AD33C0" w14:paraId="0359F0AB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19FD7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1D2F7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POREZA ZA REDOVNU DJELATNOST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B2F0C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15.993,96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CAE4A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28.449,81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B2613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24.932,16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4740B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155,88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8A4A8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87,64</w:t>
                  </w:r>
                </w:p>
              </w:tc>
            </w:tr>
            <w:tr w:rsidR="00AD33C0" w:rsidRPr="00AD33C0" w14:paraId="3E613756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72788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85E96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DECENTRALIZIRANA SREDSTVA-SREDNJE ŠKOLSTVO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579D3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29.832,39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35F79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32.741,12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67CAF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31.706,93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E3778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106,28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6C1B5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96,84</w:t>
                  </w:r>
                </w:p>
              </w:tc>
            </w:tr>
            <w:tr w:rsidR="00AD33C0" w:rsidRPr="00AD33C0" w14:paraId="137D1808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94C59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6C380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PRIHODI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AE0AA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465,02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DCA08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06794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66D79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6A2E3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</w:tr>
            <w:tr w:rsidR="00AD33C0" w:rsidRPr="00AD33C0" w14:paraId="07CA5488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0FA90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D414E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PRIHODI -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32FE4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465,02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52604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45811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76AA7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75B5B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</w:tr>
            <w:tr w:rsidR="00AD33C0" w:rsidRPr="00AD33C0" w14:paraId="20E36604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875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6A460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ZA POSEBNE NAMJENE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0DA5E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A2789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F830D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774E1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FCF22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7,14</w:t>
                  </w:r>
                </w:p>
              </w:tc>
            </w:tr>
            <w:tr w:rsidR="00AD33C0" w:rsidRPr="00AD33C0" w14:paraId="6082F0D4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CD6DB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F7ADA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PRIHODI - 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CE7A4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36952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0476B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4A64B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071A2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7,14</w:t>
                  </w:r>
                </w:p>
              </w:tc>
            </w:tr>
            <w:tr w:rsidR="00AD33C0" w:rsidRPr="00AD33C0" w14:paraId="09BF01C5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5DEABB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02C92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EA852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781.952,48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02E94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874.688,82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BD41C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815.847,50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9082F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104,33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FC651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93,27</w:t>
                  </w:r>
                </w:p>
              </w:tc>
            </w:tr>
            <w:tr w:rsidR="00AD33C0" w:rsidRPr="00AD33C0" w14:paraId="1661E23E" w14:textId="77777777" w:rsidTr="001D10BD">
              <w:trPr>
                <w:trHeight w:val="66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B390F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CC7E7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OD OSTALIH SUBJEKATA UNUTAR OPĆE DRŽAVE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1C5A1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726.066,24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B933C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858.200,00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03D95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787.452,71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B6CC0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108,45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BE236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91,76</w:t>
                  </w:r>
                </w:p>
              </w:tc>
            </w:tr>
            <w:tr w:rsidR="00AD33C0" w:rsidRPr="00AD33C0" w14:paraId="74A8EC2E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312F9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FC00F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-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BCB06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7.410,80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C9637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8.938,42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F9E7E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5.672,54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43808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76,54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A6D0E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63,46</w:t>
                  </w:r>
                </w:p>
              </w:tc>
            </w:tr>
            <w:tr w:rsidR="00AD33C0" w:rsidRPr="00AD33C0" w14:paraId="0BF86004" w14:textId="77777777" w:rsidTr="001D10BD">
              <w:trPr>
                <w:trHeight w:val="525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799EB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CBA69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IZ PRORAČUNA - EU ŽUPANIJA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C2678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1.034,04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09EE1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1.460,00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FF0E7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1.161,18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D9E01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112,30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76A08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79,53</w:t>
                  </w:r>
                </w:p>
              </w:tc>
            </w:tr>
            <w:tr w:rsidR="00AD33C0" w:rsidRPr="00AD33C0" w14:paraId="1C037F01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88233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BAC8F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SREDSTVA EU -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BBC3F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47.441,40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5951E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6.090,40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A7610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21.561,07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425B8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45,45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BD376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354,02</w:t>
                  </w:r>
                </w:p>
              </w:tc>
            </w:tr>
            <w:tr w:rsidR="00AD33C0" w:rsidRPr="00AD33C0" w14:paraId="7FAEF735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2C044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AC28F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ACBFD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2.878,00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4927D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3.282,00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8B84C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2.482,00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70CBF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86,24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4C784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75,62</w:t>
                  </w:r>
                </w:p>
              </w:tc>
            </w:tr>
            <w:tr w:rsidR="00AD33C0" w:rsidRPr="00AD33C0" w14:paraId="413E5898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4EAE0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77337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DONACIJE-PK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FE058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2.878,00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26760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3.282,00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8A41D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2.482,00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0D569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86,24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BEA14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75,62</w:t>
                  </w:r>
                </w:p>
              </w:tc>
            </w:tr>
            <w:tr w:rsidR="00AD33C0" w:rsidRPr="00AD33C0" w14:paraId="2750A2F6" w14:textId="77777777" w:rsidTr="001D10BD">
              <w:trPr>
                <w:trHeight w:val="300"/>
              </w:trPr>
              <w:tc>
                <w:tcPr>
                  <w:tcW w:w="1016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D9885A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  <w:tr w:rsidR="00AD33C0" w:rsidRPr="00AD33C0" w14:paraId="17ACDAFC" w14:textId="77777777" w:rsidTr="001D10BD">
              <w:trPr>
                <w:trHeight w:val="21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888F08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E413A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D3B1A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363C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26C84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DDBAC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5381F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AD33C0" w14:paraId="240BE6D8" w14:textId="77777777" w:rsidTr="001D10BD">
              <w:trPr>
                <w:trHeight w:val="570"/>
              </w:trPr>
              <w:tc>
                <w:tcPr>
                  <w:tcW w:w="30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D59C69E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82589C4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3231366" w14:textId="632914D1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3ABF8CF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7750559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F5B139B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AD33C0" w:rsidRPr="00AD33C0" w14:paraId="4216221A" w14:textId="77777777" w:rsidTr="001D10BD">
              <w:trPr>
                <w:trHeight w:val="225"/>
              </w:trPr>
              <w:tc>
                <w:tcPr>
                  <w:tcW w:w="304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A3B585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77B357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27EC8B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AA6577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035F53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6CA580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AD33C0" w:rsidRPr="00AD33C0" w14:paraId="48EBA1A1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2709F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B7719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8CEA7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821.556,23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0CD8A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991.894,16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E0CA0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961.103,43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B320F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116,99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04C44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96,9</w:t>
                  </w:r>
                </w:p>
              </w:tc>
            </w:tr>
            <w:tr w:rsidR="00AD33C0" w:rsidRPr="00AD33C0" w14:paraId="012655C2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A4674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1B7ED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DEBD3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45.829,31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0E24D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60.630,00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A87D4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57.112,35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DC2FC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124,62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224E6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94,20</w:t>
                  </w:r>
                </w:p>
              </w:tc>
            </w:tr>
            <w:tr w:rsidR="00AD33C0" w:rsidRPr="00AD33C0" w14:paraId="5F54D5BA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B4978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11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258AF4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POREZA ZA REDOVNU DJELATNOST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509C7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15.989,31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8E60C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28.127,00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24C32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24.609,35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5FCD5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153,91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556D7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87,49</w:t>
                  </w:r>
                </w:p>
              </w:tc>
            </w:tr>
            <w:tr w:rsidR="00AD33C0" w:rsidRPr="00AD33C0" w14:paraId="43CAFAC7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98319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B237D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DECENTRALIZIRANA SREDSTVA-SREDNJE ŠKOLSTVO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159E8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29.840,00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6F967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32.503,00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EBD22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32.503,00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EB1A3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108,92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5A3C5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AD33C0" w:rsidRPr="00AD33C0" w14:paraId="168BC7EF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037E4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106FC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PRIHODI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9C835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34,50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67E2A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579,37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6FA53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21385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7C59B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AD33C0" w:rsidRPr="00AD33C0" w14:paraId="2833D3D1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81E39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058B9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PRIHODI -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C941B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34,50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EA570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579,37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1A849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5C3F1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ED005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AD33C0" w:rsidRPr="00AD33C0" w14:paraId="52B5A68E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51BF3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213CA1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ZA POSEBNE NAMJENE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1FC74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1,47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2DB48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704,13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72A96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50,15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D9CDE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3.411,56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BBF51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7,12</w:t>
                  </w:r>
                </w:p>
              </w:tc>
            </w:tr>
            <w:tr w:rsidR="00AD33C0" w:rsidRPr="00AD33C0" w14:paraId="52D9A6CA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C3688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8E062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PRIHODI - 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8F748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1,47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75BE2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704,13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0C9B9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50,15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BA876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3.411,56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E9BBE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7,12</w:t>
                  </w:r>
                </w:p>
              </w:tc>
            </w:tr>
            <w:tr w:rsidR="00AD33C0" w:rsidRPr="00AD33C0" w14:paraId="2F5A830D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E07D7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3AB95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E425E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772.337,43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8EF8C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926.368,32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EB507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901.784,02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7B0BC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116,76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8062C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97,35</w:t>
                  </w:r>
                </w:p>
              </w:tc>
            </w:tr>
            <w:tr w:rsidR="00AD33C0" w:rsidRPr="00AD33C0" w14:paraId="3FD55971" w14:textId="77777777" w:rsidTr="001D10BD">
              <w:trPr>
                <w:trHeight w:val="66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624EE2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7900AD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OD OSTALIH SUBJEKATA UNUTAR OPĆE DRŽAVE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1BDF1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726.066,24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4B357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858.200,00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4E556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854.137,15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2FBF2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117,64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C496A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99,53</w:t>
                  </w:r>
                </w:p>
              </w:tc>
            </w:tr>
            <w:tr w:rsidR="00AD33C0" w:rsidRPr="00AD33C0" w14:paraId="23A0A2ED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D521C8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7DFEC6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-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A3DB5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5.051,32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22FB5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11.984,62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1104C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4.595,61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F2489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90,98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D8EA48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38,35</w:t>
                  </w:r>
                </w:p>
              </w:tc>
            </w:tr>
            <w:tr w:rsidR="00AD33C0" w:rsidRPr="00AD33C0" w14:paraId="002EEDFB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971E9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7E2F9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IZ PRORAČUNA - EU ŽUPANIJA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F3D944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1.034,04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E2EEC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1.460,00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EE2EE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1.161,18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8AA7E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112,30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57AA5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79,53</w:t>
                  </w:r>
                </w:p>
              </w:tc>
            </w:tr>
            <w:tr w:rsidR="00AD33C0" w:rsidRPr="00AD33C0" w14:paraId="28DE6BA9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6C5AE7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E8038C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SREDSTVA EU -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DCD97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40.185,83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90832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54.723,70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03401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41.890,08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BD6CB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104,24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FFBC0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76,55</w:t>
                  </w:r>
                </w:p>
              </w:tc>
            </w:tr>
            <w:tr w:rsidR="00AD33C0" w:rsidRPr="00AD33C0" w14:paraId="22565B00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D4EE8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D0DEAF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FBA76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3.353,52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53083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3.612,34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6F1D7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2.156,91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CB39B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64,32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733F7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59,71</w:t>
                  </w:r>
                </w:p>
              </w:tc>
            </w:tr>
            <w:tr w:rsidR="00AD33C0" w:rsidRPr="00AD33C0" w14:paraId="1BE6E3B6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EDCD4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E8815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DONACIJE-PK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B7E0E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3.353,52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3C7541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3.612,34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6B2F4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2.156,91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02A45F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64,32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688C9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59,71</w:t>
                  </w:r>
                </w:p>
              </w:tc>
            </w:tr>
          </w:tbl>
          <w:p w14:paraId="3706A7D6" w14:textId="77777777" w:rsidR="00AD33C0" w:rsidRPr="00AD33C0" w:rsidRDefault="00AD33C0" w:rsidP="00AD33C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597EFEF5" w14:textId="77777777" w:rsidR="00AD33C0" w:rsidRDefault="00AD33C0" w:rsidP="00AD33C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hr-HR"/>
              </w:rPr>
            </w:pPr>
          </w:p>
          <w:tbl>
            <w:tblPr>
              <w:tblW w:w="10586" w:type="dxa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1720"/>
              <w:gridCol w:w="1740"/>
              <w:gridCol w:w="1720"/>
              <w:gridCol w:w="723"/>
              <w:gridCol w:w="723"/>
            </w:tblGrid>
            <w:tr w:rsidR="00AD33C0" w:rsidRPr="00AD33C0" w14:paraId="6B53FDD0" w14:textId="77777777" w:rsidTr="001D10BD">
              <w:trPr>
                <w:trHeight w:val="300"/>
              </w:trPr>
              <w:tc>
                <w:tcPr>
                  <w:tcW w:w="1058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68C60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  <w:t>1.2.3. IZVJEŠTAJ O RASHODIMA PREMA FUNKCIJSKOJ KLASIFIKACIJI</w:t>
                  </w:r>
                </w:p>
              </w:tc>
            </w:tr>
            <w:tr w:rsidR="00AD33C0" w:rsidRPr="00AD33C0" w14:paraId="39A7DAD2" w14:textId="77777777" w:rsidTr="001D10BD">
              <w:trPr>
                <w:trHeight w:val="25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3D0495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E590E3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F41640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06818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A3B74A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BB61E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AD33C0" w14:paraId="4238BB7F" w14:textId="77777777" w:rsidTr="001D10BD">
              <w:trPr>
                <w:trHeight w:val="645"/>
              </w:trPr>
              <w:tc>
                <w:tcPr>
                  <w:tcW w:w="3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7828673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56CD3A6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Izvršenje 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B007A79" w14:textId="1FE0B602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C672E66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Izvršenje 31.12.2025.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D6BF2F9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154EDEF" w14:textId="77777777" w:rsidR="00956092" w:rsidRPr="00AD33C0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3</w:t>
                  </w:r>
                </w:p>
              </w:tc>
            </w:tr>
            <w:tr w:rsidR="00AD33C0" w:rsidRPr="00AD33C0" w14:paraId="664FEF9A" w14:textId="77777777" w:rsidTr="001D10BD">
              <w:trPr>
                <w:trHeight w:val="225"/>
              </w:trPr>
              <w:tc>
                <w:tcPr>
                  <w:tcW w:w="3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7DD087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B59945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C5B7D1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29BF44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9B7496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D47315" w14:textId="77777777" w:rsidR="00AD33C0" w:rsidRPr="00AD33C0" w:rsidRDefault="00AD33C0" w:rsidP="00AD33C0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AD33C0" w:rsidRPr="00AD33C0" w14:paraId="3AEB0E21" w14:textId="77777777" w:rsidTr="001D10BD">
              <w:trPr>
                <w:trHeight w:val="360"/>
              </w:trPr>
              <w:tc>
                <w:tcPr>
                  <w:tcW w:w="3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A7D44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870F10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821.556,23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59DB4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991.894,16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3D7C5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961.103,43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D72DA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116,99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004886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96,90</w:t>
                  </w:r>
                </w:p>
              </w:tc>
            </w:tr>
            <w:tr w:rsidR="00AD33C0" w:rsidRPr="00AD33C0" w14:paraId="758B1616" w14:textId="77777777" w:rsidTr="001D10BD">
              <w:trPr>
                <w:trHeight w:val="375"/>
              </w:trPr>
              <w:tc>
                <w:tcPr>
                  <w:tcW w:w="3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89CC79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09 Obrazovanje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76188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821.556,23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987D7E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991.894,16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12FAF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961.103,43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32349C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116,99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19457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96,90</w:t>
                  </w:r>
                </w:p>
              </w:tc>
            </w:tr>
            <w:tr w:rsidR="00AD33C0" w:rsidRPr="00AD33C0" w14:paraId="48DD2191" w14:textId="77777777" w:rsidTr="001D10BD">
              <w:trPr>
                <w:trHeight w:val="360"/>
              </w:trPr>
              <w:tc>
                <w:tcPr>
                  <w:tcW w:w="3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DB2FBE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092 Srednjoškolsko  obrazovanje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C37FA3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820.266,24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04748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989.579,91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F7DAA7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959.717,00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8C10B5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117,00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69DA02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96,98</w:t>
                  </w:r>
                </w:p>
              </w:tc>
            </w:tr>
            <w:tr w:rsidR="00AD33C0" w:rsidRPr="00AD33C0" w14:paraId="6CFB62BD" w14:textId="77777777" w:rsidTr="001D10BD">
              <w:trPr>
                <w:trHeight w:val="360"/>
              </w:trPr>
              <w:tc>
                <w:tcPr>
                  <w:tcW w:w="3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5DA345" w14:textId="77777777" w:rsidR="00AD33C0" w:rsidRPr="00AD33C0" w:rsidRDefault="00AD33C0" w:rsidP="00AD33C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098 Usluge obrazovanja koje nisu drugdje svrstane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4D87F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1.289,99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66499B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2.314,25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22733D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1.386,43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AB99EA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107,48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3C8D09" w14:textId="77777777" w:rsidR="00AD33C0" w:rsidRPr="00AD33C0" w:rsidRDefault="00AD33C0" w:rsidP="00AD33C0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D33C0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59,91</w:t>
                  </w:r>
                </w:p>
              </w:tc>
            </w:tr>
          </w:tbl>
          <w:p w14:paraId="1FC2E9B1" w14:textId="77777777" w:rsidR="00AD33C0" w:rsidRPr="00AD33C0" w:rsidRDefault="00AD33C0" w:rsidP="00AD33C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62EEC9ED" w14:textId="77777777" w:rsidR="00AD33C0" w:rsidRPr="00AD33C0" w:rsidRDefault="00AD33C0" w:rsidP="00AD33C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  <w:tbl>
            <w:tblPr>
              <w:tblW w:w="10586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380"/>
              <w:gridCol w:w="1720"/>
              <w:gridCol w:w="1740"/>
              <w:gridCol w:w="1720"/>
              <w:gridCol w:w="723"/>
              <w:gridCol w:w="723"/>
            </w:tblGrid>
            <w:tr w:rsidR="009A7B23" w:rsidRPr="009A7B23" w14:paraId="3B256D19" w14:textId="77777777" w:rsidTr="001D10BD">
              <w:trPr>
                <w:trHeight w:val="330"/>
              </w:trPr>
              <w:tc>
                <w:tcPr>
                  <w:tcW w:w="105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0D5FEA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  <w:t>1.3. RAČUN FINANCIRANJA</w:t>
                  </w:r>
                </w:p>
              </w:tc>
            </w:tr>
            <w:tr w:rsidR="009A7B23" w:rsidRPr="009A7B23" w14:paraId="3913F7EB" w14:textId="77777777" w:rsidTr="001D10BD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D730CD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7DE59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9C6CF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6CE22B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D65D7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A890E5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CB65F9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A7B23" w:rsidRPr="009A7B23" w14:paraId="761BB9A6" w14:textId="77777777" w:rsidTr="001D10BD">
              <w:trPr>
                <w:trHeight w:val="315"/>
              </w:trPr>
              <w:tc>
                <w:tcPr>
                  <w:tcW w:w="105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1AD2F4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>1.3.1. IZVJEŠTAJ RAČUNA FINANCIRANJA PREMA EKONOMSKOJ KLASIFIKACIJI</w:t>
                  </w:r>
                </w:p>
              </w:tc>
            </w:tr>
            <w:tr w:rsidR="009A7B23" w:rsidRPr="009A7B23" w14:paraId="45A39DDB" w14:textId="77777777" w:rsidTr="001D10BD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ADFB6F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939AFA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AD57DD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109A78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02B79F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4B3A49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07CF2D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9A7B23" w14:paraId="0007FDDF" w14:textId="77777777" w:rsidTr="001D10BD">
              <w:trPr>
                <w:trHeight w:val="645"/>
              </w:trPr>
              <w:tc>
                <w:tcPr>
                  <w:tcW w:w="3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0EBB05A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CD945B5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65428DE" w14:textId="5AFDB505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5B086A5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02A320B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DCEC27C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9A7B23" w:rsidRPr="009A7B23" w14:paraId="17599FB0" w14:textId="77777777" w:rsidTr="001D10BD">
              <w:trPr>
                <w:trHeight w:val="225"/>
              </w:trPr>
              <w:tc>
                <w:tcPr>
                  <w:tcW w:w="396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A2FA00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5DAF5E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1D5057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9FCD01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889ED1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4190B7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9A7B23" w:rsidRPr="009A7B23" w14:paraId="4A15B2B9" w14:textId="77777777" w:rsidTr="001D10BD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4FE94B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B5D196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36648D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BC2EC5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5B023A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71298F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543F85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9A7B23" w:rsidRPr="009A7B23" w14:paraId="4D90F9BC" w14:textId="77777777" w:rsidTr="001D10BD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764224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D43E3C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6477DC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571AB3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A80E88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425883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4A8304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9A7B23" w:rsidRPr="009A7B23" w14:paraId="37D22459" w14:textId="77777777" w:rsidTr="001D10BD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C96D80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7A96ED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FCCA41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E7F662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E3CE1E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67176F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FAE28D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9A7B23" w:rsidRPr="009A7B23" w14:paraId="7786A23E" w14:textId="77777777" w:rsidTr="001D10BD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C93E1B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604822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BC0E47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7C9009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AE85BB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D3652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29A408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</w:tbl>
          <w:p w14:paraId="1DB2A656" w14:textId="77777777" w:rsidR="00AD33C0" w:rsidRPr="009A7B23" w:rsidRDefault="00AD33C0" w:rsidP="00AD33C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0A4D51CB" w14:textId="0F2E5180" w:rsidR="00AD33C0" w:rsidRPr="00ED3814" w:rsidRDefault="00AD33C0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hr-HR"/>
              </w:rPr>
            </w:pPr>
          </w:p>
        </w:tc>
      </w:tr>
      <w:tr w:rsidR="00ED3814" w:rsidRPr="00ED3814" w14:paraId="51425F0D" w14:textId="77777777" w:rsidTr="001D10BD">
        <w:trPr>
          <w:gridAfter w:val="1"/>
          <w:wAfter w:w="426" w:type="dxa"/>
          <w:trHeight w:val="240"/>
        </w:trPr>
        <w:tc>
          <w:tcPr>
            <w:tcW w:w="1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40B02" w14:textId="77777777" w:rsid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hr-HR"/>
              </w:rPr>
            </w:pPr>
          </w:p>
          <w:p w14:paraId="63C83C66" w14:textId="77777777" w:rsidR="009A7B23" w:rsidRDefault="009A7B23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hr-HR"/>
              </w:rPr>
            </w:pPr>
          </w:p>
          <w:tbl>
            <w:tblPr>
              <w:tblW w:w="10103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2560"/>
              <w:gridCol w:w="1840"/>
              <w:gridCol w:w="1860"/>
              <w:gridCol w:w="1860"/>
              <w:gridCol w:w="780"/>
              <w:gridCol w:w="723"/>
            </w:tblGrid>
            <w:tr w:rsidR="009A7B23" w:rsidRPr="009A7B23" w14:paraId="742691B3" w14:textId="77777777" w:rsidTr="001D10BD">
              <w:trPr>
                <w:trHeight w:val="300"/>
              </w:trPr>
              <w:tc>
                <w:tcPr>
                  <w:tcW w:w="1010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1E36BB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  <w:t>1.3.2. IZVJEŠTAJ RAČUNA FINANCIRANJA PREMA IZVORIMA FINANCIRANJA</w:t>
                  </w:r>
                </w:p>
              </w:tc>
            </w:tr>
            <w:tr w:rsidR="009A7B23" w:rsidRPr="009A7B23" w14:paraId="3072DB58" w14:textId="77777777" w:rsidTr="001D10BD">
              <w:trPr>
                <w:trHeight w:val="3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B08448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CF6233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70029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E2997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E7A12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DD3E4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F69305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A7B23" w:rsidRPr="009A7B23" w14:paraId="07FA1B3C" w14:textId="77777777" w:rsidTr="001D10BD">
              <w:trPr>
                <w:trHeight w:val="300"/>
              </w:trPr>
              <w:tc>
                <w:tcPr>
                  <w:tcW w:w="1010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557F1C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  <w:tr w:rsidR="009A7B23" w:rsidRPr="009A7B23" w14:paraId="229732E4" w14:textId="77777777" w:rsidTr="001D10BD">
              <w:trPr>
                <w:trHeight w:val="225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379E8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987A18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0C920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80CBBC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4AF8F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FC6A3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40BD8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9A7B23" w14:paraId="5C4C3D6C" w14:textId="77777777" w:rsidTr="001D10BD">
              <w:trPr>
                <w:trHeight w:val="555"/>
              </w:trPr>
              <w:tc>
                <w:tcPr>
                  <w:tcW w:w="30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D880B01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71AE55B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DDD8C2E" w14:textId="7B23429B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7579C6D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718C1A9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BCA55D9" w14:textId="77777777" w:rsidR="00956092" w:rsidRPr="009A7B23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9A7B23" w:rsidRPr="009A7B23" w14:paraId="10A20E32" w14:textId="77777777" w:rsidTr="001D10BD">
              <w:trPr>
                <w:trHeight w:val="225"/>
              </w:trPr>
              <w:tc>
                <w:tcPr>
                  <w:tcW w:w="304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DD3F08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C81E34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3B73F3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DC20EC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E7C9F0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3ACB9C" w14:textId="77777777" w:rsidR="009A7B23" w:rsidRPr="009A7B23" w:rsidRDefault="009A7B23" w:rsidP="009A7B2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9A7B23" w:rsidRPr="009A7B23" w14:paraId="6E21F802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074492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DE558E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84EB20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3CE97D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D64976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CD00AC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9F80ED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9A7B23" w:rsidRPr="009A7B23" w14:paraId="1EC048ED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3464DB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0DF069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CD798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77A7FA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73FFC7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286CF4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E8A9A0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9A7B23" w:rsidRPr="009A7B23" w14:paraId="77CA0A11" w14:textId="77777777" w:rsidTr="001D10BD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BA71DB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AEBC84" w14:textId="77777777" w:rsidR="009A7B23" w:rsidRPr="009A7B23" w:rsidRDefault="009A7B23" w:rsidP="009A7B2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830B9D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616305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20A09E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BE9329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20437E" w14:textId="77777777" w:rsidR="009A7B23" w:rsidRPr="009A7B23" w:rsidRDefault="009A7B23" w:rsidP="009A7B2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9A7B23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</w:tbl>
          <w:p w14:paraId="4549B706" w14:textId="77777777" w:rsidR="009A7B23" w:rsidRDefault="009A7B23" w:rsidP="009A7B2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7C25C981" w14:textId="77777777" w:rsidR="009A7B23" w:rsidRPr="009A7B23" w:rsidRDefault="009A7B23" w:rsidP="009A7B2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4C0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880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77AB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B00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5B9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F33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471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731522D6" w14:textId="77777777" w:rsidTr="001D10BD">
        <w:trPr>
          <w:gridAfter w:val="1"/>
          <w:wAfter w:w="426" w:type="dxa"/>
          <w:trHeight w:val="345"/>
        </w:trPr>
        <w:tc>
          <w:tcPr>
            <w:tcW w:w="1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5D4E" w14:textId="77777777" w:rsidR="00ED3814" w:rsidRDefault="00ED3814" w:rsidP="00AD33C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  <w:tbl>
            <w:tblPr>
              <w:tblW w:w="10586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380"/>
              <w:gridCol w:w="1720"/>
              <w:gridCol w:w="1740"/>
              <w:gridCol w:w="1720"/>
              <w:gridCol w:w="723"/>
              <w:gridCol w:w="723"/>
            </w:tblGrid>
            <w:tr w:rsidR="007F0BEB" w:rsidRPr="007F0BEB" w14:paraId="7D35AB18" w14:textId="77777777" w:rsidTr="001D10BD">
              <w:trPr>
                <w:trHeight w:val="300"/>
              </w:trPr>
              <w:tc>
                <w:tcPr>
                  <w:tcW w:w="105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E4F271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  <w:t>PRENESENI VIŠAK ILI PRENESENI MANJAK</w:t>
                  </w:r>
                </w:p>
              </w:tc>
            </w:tr>
            <w:tr w:rsidR="007F0BEB" w:rsidRPr="007F0BEB" w14:paraId="5970CB26" w14:textId="77777777" w:rsidTr="001D10BD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1B3F4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915168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D04B6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DA6C3E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77438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B25F30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A7BEB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F0BEB" w:rsidRPr="007F0BEB" w14:paraId="27B5B950" w14:textId="77777777" w:rsidTr="001D10BD">
              <w:trPr>
                <w:trHeight w:val="240"/>
              </w:trPr>
              <w:tc>
                <w:tcPr>
                  <w:tcW w:w="105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2E5668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7F0BEB" w14:paraId="2C611BAE" w14:textId="77777777" w:rsidTr="001D10BD">
              <w:trPr>
                <w:trHeight w:val="660"/>
              </w:trPr>
              <w:tc>
                <w:tcPr>
                  <w:tcW w:w="3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192EA43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C31C8A7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CEBB757" w14:textId="6BB2ADC0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9E54F9D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D2BE6B2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83DF807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7F0BEB" w:rsidRPr="007F0BEB" w14:paraId="77A2B694" w14:textId="77777777" w:rsidTr="001D10BD">
              <w:trPr>
                <w:trHeight w:val="225"/>
              </w:trPr>
              <w:tc>
                <w:tcPr>
                  <w:tcW w:w="396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6FB4B6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745D11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2342CC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C65C0F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C67E06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DD6619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690B19" w:rsidRPr="007F0BEB" w14:paraId="63253ABF" w14:textId="77777777" w:rsidTr="00690B19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434261" w14:textId="77777777" w:rsidR="00690B19" w:rsidRPr="007F0BEB" w:rsidRDefault="00690B19" w:rsidP="00690B1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564B66" w14:textId="77777777" w:rsidR="00690B19" w:rsidRPr="007F0BEB" w:rsidRDefault="00690B19" w:rsidP="00690B1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izvori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973876" w14:textId="502D939E" w:rsidR="00690B19" w:rsidRPr="007F0BEB" w:rsidRDefault="00690B19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28.345,64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5DC762" w14:textId="41A4648D" w:rsidR="00690B19" w:rsidRPr="007F0BEB" w:rsidRDefault="00690B19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52.493,34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6BD24" w14:textId="110A939D" w:rsidR="00690B19" w:rsidRPr="00690B19" w:rsidRDefault="0010629C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5.257,94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D82CCF1" w14:textId="02DB0809" w:rsidR="00690B19" w:rsidRPr="00690B19" w:rsidRDefault="0010629C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18,54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FD229A" w14:textId="32EB51B4" w:rsidR="00690B19" w:rsidRPr="00690B19" w:rsidRDefault="00690B19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90B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10,02</w:t>
                  </w:r>
                </w:p>
              </w:tc>
            </w:tr>
            <w:tr w:rsidR="00690B19" w:rsidRPr="007F0BEB" w14:paraId="79CB5129" w14:textId="77777777" w:rsidTr="00690B19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4B9232" w14:textId="77777777" w:rsidR="00690B19" w:rsidRPr="007F0BEB" w:rsidRDefault="00690B19" w:rsidP="00690B1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3455B7" w14:textId="77777777" w:rsidR="00690B19" w:rsidRPr="007F0BEB" w:rsidRDefault="00690B19" w:rsidP="00690B1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C9273F" w14:textId="580DAD8C" w:rsidR="00690B19" w:rsidRPr="007F0BEB" w:rsidRDefault="00690B19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28.345,64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F36697" w14:textId="0686CED8" w:rsidR="00690B19" w:rsidRPr="007F0BEB" w:rsidRDefault="00690B19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52.493,34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B38C5E" w14:textId="1A3F47C4" w:rsidR="00690B19" w:rsidRPr="00690B19" w:rsidRDefault="0010629C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5.257,94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41CBFFF" w14:textId="18CDB799" w:rsidR="00690B19" w:rsidRPr="00690B19" w:rsidRDefault="0010629C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18,54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FE8F47" w14:textId="03A6092F" w:rsidR="00690B19" w:rsidRPr="00690B19" w:rsidRDefault="00690B19" w:rsidP="00690B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90B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10,02</w:t>
                  </w:r>
                </w:p>
              </w:tc>
            </w:tr>
            <w:tr w:rsidR="007F0BEB" w:rsidRPr="007F0BEB" w14:paraId="5BE929FE" w14:textId="77777777" w:rsidTr="00690B19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F57ED8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922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0FDC23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Rezultat - višak/manjak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7D2958" w14:textId="667BFC46" w:rsidR="007F0BEB" w:rsidRPr="007F0BEB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28.345,64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A7EDE8" w14:textId="5B489C89" w:rsidR="007F0BEB" w:rsidRPr="007F0BEB" w:rsidRDefault="00600CC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52.493,34</w:t>
                  </w:r>
                  <w:r w:rsidR="007F0BEB"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5ECE6C" w14:textId="29773410" w:rsidR="007F0BEB" w:rsidRPr="007F0BEB" w:rsidRDefault="0010629C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5.257,94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21E9DC" w14:textId="74B937B7" w:rsidR="007F0BEB" w:rsidRPr="007F0BEB" w:rsidRDefault="0010629C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18,54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159B06" w14:textId="4A11F019" w:rsidR="007F0BEB" w:rsidRPr="00690B19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90B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10,02</w:t>
                  </w:r>
                  <w:r w:rsidR="007F0BEB" w:rsidRPr="00690B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7F0BEB" w:rsidRPr="007F0BEB" w14:paraId="79F5E5FD" w14:textId="77777777" w:rsidTr="00690B19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FCD5EF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9221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A7F170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Višak prihoda i primitaka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E637B1" w14:textId="19E1F18F" w:rsidR="007F0BEB" w:rsidRPr="007F0BEB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28.345,64</w:t>
                  </w:r>
                  <w:r w:rsidR="007F0BEB"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F3719F" w14:textId="5054B120" w:rsidR="007F0BEB" w:rsidRPr="007F0BEB" w:rsidRDefault="00600CC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52.493,34</w:t>
                  </w:r>
                  <w:r w:rsidR="007F0BEB"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5A9F06" w14:textId="34659351" w:rsidR="007F0BEB" w:rsidRPr="007F0BEB" w:rsidRDefault="0010629C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5.257,94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93A735" w14:textId="41AC1488" w:rsidR="007F0BEB" w:rsidRPr="007F0BEB" w:rsidRDefault="0010629C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18,54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828A07" w14:textId="457FBE06" w:rsidR="007F0BEB" w:rsidRPr="007F0BEB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10,02</w:t>
                  </w:r>
                  <w:r w:rsidR="007F0BEB"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7F0BEB" w:rsidRPr="007F0BEB" w14:paraId="4D6F7502" w14:textId="77777777" w:rsidTr="00690B19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504A2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0FA015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D0852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B4D83B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D809E1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FFCA4A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052A5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F0BEB" w:rsidRPr="007F0BEB" w14:paraId="43FE1103" w14:textId="77777777" w:rsidTr="001D10BD">
              <w:trPr>
                <w:trHeight w:val="240"/>
              </w:trPr>
              <w:tc>
                <w:tcPr>
                  <w:tcW w:w="105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E8AB3D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56092" w:rsidRPr="007F0BEB" w14:paraId="6EEF7AB5" w14:textId="77777777" w:rsidTr="001D10BD">
              <w:trPr>
                <w:trHeight w:val="660"/>
              </w:trPr>
              <w:tc>
                <w:tcPr>
                  <w:tcW w:w="3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4DF6F5E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AC0235F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31.12.2024.</w:t>
                  </w: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819AC29" w14:textId="42C701F3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 /</w:t>
                  </w: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BEE60A8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31.12.2025.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2FEFCF9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B3BC488" w14:textId="77777777" w:rsidR="00956092" w:rsidRPr="007F0BEB" w:rsidRDefault="00956092" w:rsidP="00956092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7F0BEB" w:rsidRPr="007F0BEB" w14:paraId="38CE3216" w14:textId="77777777" w:rsidTr="001D10BD">
              <w:trPr>
                <w:trHeight w:val="225"/>
              </w:trPr>
              <w:tc>
                <w:tcPr>
                  <w:tcW w:w="396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4361C5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0AB1AF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4F6ECD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5A7B59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3AED1C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A7149B" w14:textId="77777777" w:rsidR="007F0BEB" w:rsidRPr="007F0BEB" w:rsidRDefault="007F0BEB" w:rsidP="007F0BE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7F0BEB" w:rsidRPr="007F0BEB" w14:paraId="290E4307" w14:textId="77777777" w:rsidTr="00690B19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643D2C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8BB040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izvori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F57D57" w14:textId="19869B45" w:rsidR="007F0BEB" w:rsidRPr="00690B19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557,97</w:t>
                  </w:r>
                  <w:r w:rsidRPr="00690B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D63046" w14:textId="44596083" w:rsidR="007F0BEB" w:rsidRPr="00690B19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  <w:r w:rsidRPr="00690B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60,93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6B3B6" w14:textId="3CA7FB82" w:rsidR="007F0BEB" w:rsidRPr="00690B19" w:rsidRDefault="0010629C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68.792,88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29357E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F5FD96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7F0BEB" w:rsidRPr="007F0BEB" w14:paraId="1CE04785" w14:textId="77777777" w:rsidTr="00690B19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2E2DB9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9CE54E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15A5AC" w14:textId="51E313B4" w:rsidR="007F0BEB" w:rsidRPr="00690B19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557,97</w:t>
                  </w:r>
                  <w:r w:rsidRPr="00690B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818423" w14:textId="1FE0954C" w:rsidR="007F0BEB" w:rsidRPr="00690B19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90B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560,93 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70597" w14:textId="68862130" w:rsidR="007F0BEB" w:rsidRPr="00690B19" w:rsidRDefault="0010629C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68.792,88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5E2149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2FC689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7F0BEB" w:rsidRPr="007F0BEB" w14:paraId="245391C2" w14:textId="77777777" w:rsidTr="00690B19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4734F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922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688E2C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Rezultat - višak/manjak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22D3C0" w14:textId="6F137AAE" w:rsidR="007F0BEB" w:rsidRPr="007F0BEB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557,97</w:t>
                  </w:r>
                  <w:r w:rsidR="007F0BEB"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223536" w14:textId="42B10947" w:rsidR="007F0BEB" w:rsidRPr="007F0BEB" w:rsidRDefault="00600CC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560,93</w:t>
                  </w:r>
                  <w:r w:rsidR="007F0BEB"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5FFE89" w14:textId="620C2F4A" w:rsidR="007F0BEB" w:rsidRPr="007F0BEB" w:rsidRDefault="0010629C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68.792,88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B47DCC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4AE583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7F0BEB" w:rsidRPr="007F0BEB" w14:paraId="43357594" w14:textId="77777777" w:rsidTr="00690B19">
              <w:trPr>
                <w:trHeight w:val="3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0B77AC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9222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FAE42B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Manjak prihoda i primitaka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100191" w14:textId="2E4CA518" w:rsidR="007F0BEB" w:rsidRPr="007F0BEB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557,97</w:t>
                  </w:r>
                  <w:r w:rsidR="007F0BEB"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18D724" w14:textId="099EE175" w:rsidR="007F0BEB" w:rsidRPr="007F0BEB" w:rsidRDefault="00600CC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560,93</w:t>
                  </w:r>
                  <w:r w:rsidR="007F0BEB"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025425" w14:textId="09B771A8" w:rsidR="007F0BEB" w:rsidRPr="007F0BEB" w:rsidRDefault="0010629C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68.792,88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30800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36CBCF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7F0BEB" w:rsidRPr="007F0BEB" w14:paraId="7C0720CA" w14:textId="77777777" w:rsidTr="001D10BD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EC7D23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9A7C5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F5F460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ACEF79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6BE4AD" w14:textId="171E8816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09405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AB4F1F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F0BEB" w:rsidRPr="007F0BEB" w14:paraId="7187D2F8" w14:textId="77777777" w:rsidTr="001D10BD">
              <w:trPr>
                <w:trHeight w:val="360"/>
              </w:trPr>
              <w:tc>
                <w:tcPr>
                  <w:tcW w:w="3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81DEFE" w14:textId="77777777" w:rsidR="007F0BEB" w:rsidRPr="007F0BEB" w:rsidRDefault="007F0BEB" w:rsidP="007F0BE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Ukupno 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54889E" w14:textId="6372E585" w:rsidR="007F0BEB" w:rsidRPr="007F0BEB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27.787,67</w:t>
                  </w:r>
                </w:p>
              </w:tc>
              <w:tc>
                <w:tcPr>
                  <w:tcW w:w="17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0A0723" w14:textId="7453AF75" w:rsidR="007F0BEB" w:rsidRPr="007F0BEB" w:rsidRDefault="008B3D64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8422E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51.932,41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C0BF93" w14:textId="33D86997" w:rsidR="007F0BEB" w:rsidRPr="007F0BEB" w:rsidRDefault="00690B19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-</w:t>
                  </w:r>
                  <w:r w:rsidR="00AA4B3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63.530,96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825FF7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A8606B" w14:textId="77777777" w:rsidR="007F0BEB" w:rsidRPr="007F0BEB" w:rsidRDefault="007F0BEB" w:rsidP="007F0BE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7F0B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</w:tbl>
          <w:p w14:paraId="5FAD3207" w14:textId="77777777" w:rsidR="007F0BEB" w:rsidRPr="00ED3814" w:rsidRDefault="007F0BEB" w:rsidP="00AD33C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276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C99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C04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4BC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62F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540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B13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7B7DBAA0" w14:textId="77777777" w:rsidTr="001D10BD">
        <w:trPr>
          <w:gridAfter w:val="1"/>
          <w:wAfter w:w="426" w:type="dxa"/>
          <w:trHeight w:val="255"/>
        </w:trPr>
        <w:tc>
          <w:tcPr>
            <w:tcW w:w="18595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0CE655FE" w14:textId="1CE46735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</w:tr>
      <w:tr w:rsidR="00ED3814" w:rsidRPr="00ED3814" w14:paraId="6840A15F" w14:textId="77777777" w:rsidTr="001D10BD">
        <w:trPr>
          <w:gridAfter w:val="1"/>
          <w:wAfter w:w="426" w:type="dxa"/>
          <w:trHeight w:val="255"/>
        </w:trPr>
        <w:tc>
          <w:tcPr>
            <w:tcW w:w="1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85A9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6FDA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AE4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8AFA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82D8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732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B0F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2CB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159E6160" w14:textId="77777777" w:rsidTr="001D10BD">
        <w:trPr>
          <w:gridAfter w:val="1"/>
          <w:wAfter w:w="426" w:type="dxa"/>
          <w:trHeight w:val="345"/>
        </w:trPr>
        <w:tc>
          <w:tcPr>
            <w:tcW w:w="1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E156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6AF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F35F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708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F64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2E8B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9245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19A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431A881A" w14:textId="77777777" w:rsidTr="001D10BD">
        <w:trPr>
          <w:gridAfter w:val="1"/>
          <w:wAfter w:w="426" w:type="dxa"/>
          <w:trHeight w:val="255"/>
        </w:trPr>
        <w:tc>
          <w:tcPr>
            <w:tcW w:w="185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80A6D93" w14:textId="4B619173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</w:tr>
      <w:tr w:rsidR="00ED3814" w:rsidRPr="00ED3814" w14:paraId="47CB1935" w14:textId="77777777" w:rsidTr="001D10BD">
        <w:trPr>
          <w:gridAfter w:val="1"/>
          <w:wAfter w:w="426" w:type="dxa"/>
          <w:trHeight w:val="165"/>
        </w:trPr>
        <w:tc>
          <w:tcPr>
            <w:tcW w:w="1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43645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D35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047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705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D5E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D548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FC0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8BD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44B4B5CE" w14:textId="77777777" w:rsidTr="001D10BD">
        <w:trPr>
          <w:gridAfter w:val="1"/>
          <w:wAfter w:w="426" w:type="dxa"/>
          <w:trHeight w:val="345"/>
        </w:trPr>
        <w:tc>
          <w:tcPr>
            <w:tcW w:w="1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2617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DE67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F1A7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848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5E5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3E2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082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62D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5E6B6D0D" w14:textId="77777777" w:rsidTr="001D10BD">
        <w:trPr>
          <w:gridAfter w:val="1"/>
          <w:wAfter w:w="426" w:type="dxa"/>
          <w:trHeight w:val="255"/>
        </w:trPr>
        <w:tc>
          <w:tcPr>
            <w:tcW w:w="185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AF7D6B" w14:textId="38F88E1E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</w:tr>
      <w:tr w:rsidR="00ED3814" w:rsidRPr="00ED3814" w14:paraId="61DACC19" w14:textId="77777777" w:rsidTr="001D10BD">
        <w:trPr>
          <w:gridAfter w:val="1"/>
          <w:wAfter w:w="426" w:type="dxa"/>
          <w:trHeight w:val="135"/>
        </w:trPr>
        <w:tc>
          <w:tcPr>
            <w:tcW w:w="1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37D3D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6E1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506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B77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01D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51C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241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65E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5F3916" w:rsidRPr="005F3916" w14:paraId="545E1F72" w14:textId="77777777" w:rsidTr="001D10BD">
        <w:trPr>
          <w:trHeight w:val="435"/>
        </w:trPr>
        <w:tc>
          <w:tcPr>
            <w:tcW w:w="1902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1699" w14:textId="77777777" w:rsid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  <w:p w14:paraId="7D734D81" w14:textId="77777777" w:rsid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  <w:p w14:paraId="56BB1DAD" w14:textId="77777777" w:rsid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  <w:p w14:paraId="5FA83DF7" w14:textId="7B222932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</w:tc>
      </w:tr>
      <w:tr w:rsidR="005F3916" w:rsidRPr="005F3916" w14:paraId="65462B11" w14:textId="77777777" w:rsidTr="001D10BD">
        <w:trPr>
          <w:trHeight w:val="25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35C7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</w:tc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D335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6FC4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B867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072E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5FA8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71E5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5F3916" w:rsidRPr="005F3916" w14:paraId="21B6E413" w14:textId="77777777" w:rsidTr="001D10BD">
        <w:trPr>
          <w:trHeight w:val="270"/>
        </w:trPr>
        <w:tc>
          <w:tcPr>
            <w:tcW w:w="1902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4FEF12F3" w14:textId="5C33793C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</w:tc>
      </w:tr>
      <w:tr w:rsidR="005F3916" w:rsidRPr="005F3916" w14:paraId="7394A8CA" w14:textId="77777777" w:rsidTr="001D10BD">
        <w:trPr>
          <w:trHeight w:val="420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60AF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BA64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7D99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34B1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4988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E184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4923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04DA75CE" w14:textId="77777777" w:rsidR="00ED3814" w:rsidRDefault="00ED3814"/>
    <w:p w14:paraId="5069E3D4" w14:textId="77777777" w:rsidR="007F0BEB" w:rsidRDefault="007F0BEB"/>
    <w:tbl>
      <w:tblPr>
        <w:tblW w:w="9980" w:type="dxa"/>
        <w:tblLook w:val="04A0" w:firstRow="1" w:lastRow="0" w:firstColumn="1" w:lastColumn="0" w:noHBand="0" w:noVBand="1"/>
      </w:tblPr>
      <w:tblGrid>
        <w:gridCol w:w="222"/>
        <w:gridCol w:w="2050"/>
        <w:gridCol w:w="3645"/>
        <w:gridCol w:w="1637"/>
        <w:gridCol w:w="1657"/>
        <w:gridCol w:w="771"/>
        <w:gridCol w:w="222"/>
      </w:tblGrid>
      <w:tr w:rsidR="007F0BEB" w:rsidRPr="007F0BEB" w14:paraId="7CB90722" w14:textId="77777777" w:rsidTr="007F0BEB">
        <w:trPr>
          <w:trHeight w:val="84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070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F814175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r-HR"/>
              </w:rPr>
              <w:t>2. POSEBNI DIO</w:t>
            </w: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br/>
            </w: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br/>
              <w:t>2.1. IZVJEŠTAJ PO PROGRAMSKOJ KLASIFIKACIJI</w:t>
            </w:r>
          </w:p>
        </w:tc>
      </w:tr>
      <w:tr w:rsidR="007F0BEB" w:rsidRPr="007F0BEB" w14:paraId="3F547634" w14:textId="77777777" w:rsidTr="007F0BEB">
        <w:trPr>
          <w:trHeight w:val="40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9730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05B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4D2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7FB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C82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36A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0D7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7D22252" w14:textId="77777777" w:rsidTr="007F0BEB">
        <w:trPr>
          <w:trHeight w:val="555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476DC0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2CBA58" w14:textId="77777777" w:rsidR="00956092" w:rsidRPr="008422E0" w:rsidRDefault="00956092" w:rsidP="009560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Izvorni plan /</w:t>
            </w:r>
            <w:r w:rsidRPr="00842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Rebalans za 2025. godinu</w:t>
            </w:r>
          </w:p>
          <w:p w14:paraId="1D4A35D2" w14:textId="67A2A250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FF6F50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5E287A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 xml:space="preserve">Indeks </w:t>
            </w: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B70D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AA8CFEA" w14:textId="77777777" w:rsidTr="007F0BEB">
        <w:trPr>
          <w:trHeight w:val="315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B9142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795A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4C82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FF6C2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6104" w14:textId="77777777" w:rsidR="007F0BEB" w:rsidRPr="007F0BEB" w:rsidRDefault="007F0BEB" w:rsidP="007F0B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80140F4" w14:textId="77777777" w:rsidTr="007F0BEB">
        <w:trPr>
          <w:trHeight w:val="330"/>
        </w:trPr>
        <w:tc>
          <w:tcPr>
            <w:tcW w:w="58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D085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E49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991.894,16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07AB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961.103,43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4E8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96,90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F2D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975F4A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AD7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GLAVA    00702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FD2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SREDNJE ŠKOLSTVO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9C21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989.579,91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303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959.717,00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80C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96,98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FB0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276FD0C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6FAC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 financiranja   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EE9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4DE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60.175,00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8D7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56.957,35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829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94,65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BB5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451D9C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A16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 financiranja   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E9C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7265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579,37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00D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2B0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7D7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A9A234F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BCDE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 financiranja   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6FC5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A01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704,13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EC5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50,15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EEB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7,12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BB2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7B889B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5A8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14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C14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924.509,07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8E0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900.552,59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7FA2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97,41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AE1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854821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822F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 financiranja   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719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9AFD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3.612,34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C440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2.156,91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372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59,71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9E8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84571F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F3F3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PROGRAM    7003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686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REDOVNI PROGRAM SREDNJEG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58A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911.084,21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476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896.624,03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058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98,41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B34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C55BACA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4CB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Aktivnost A107006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4B4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UPRAVLJANJE I ADMINISTRACIJA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604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858.300,00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4A1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854.137,15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A34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99,51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B5A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1964C6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BA46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53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F1F7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POMOĆI OD OSTALIH SUBJEKATA UNUTAR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80C5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858.200,00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A70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854.137,15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112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99,53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31C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21B581A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CC3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D1D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203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855.700,00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3A22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851.641,15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0A5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99,53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605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38F629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BD8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D27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AF3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B8B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693.693,29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38DD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410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6AE2C96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10E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E2B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23C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63F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7F9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095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2D7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2678FE9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1735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024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4B4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57B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17.964,88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98D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7BB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1566EF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D2B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D91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8DE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60B1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22.559,41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4521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030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38692C1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004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466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00D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F1B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3A3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0E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EE2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6A6584BF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A80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7A3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7FB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EF4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117.423,57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0D93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5CC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B50FA7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806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FAA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056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CE1A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2.496,00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2F8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99,84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93B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193F3A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4F58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120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8FD9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777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2.496,00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5533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70C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3598387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4A4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6F9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061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BC2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E9C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6D9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EC1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1701973C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7A2F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BE2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225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DEE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B734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0A5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2E782C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9F8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E9D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ABB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2D1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33A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64C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89199D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E26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BE7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DA90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A02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CE0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E92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43EE059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C60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4DE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F38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927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1A6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B13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75F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69EBDA9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178B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Aktivnost A107007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22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REDOVNI RAD SŠ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C3B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42.296,18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3CD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34.452,93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CE0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81,46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403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B31E67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E34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855F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B48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88A0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3.251,46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8A2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83,37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094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0F2A46C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94B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FAFC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859B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857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3.251,46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CA0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83,37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47A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E1A4F9F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7E4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48B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E6B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61A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6B8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E90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069F00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4D9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5A67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078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EDB1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3.251,46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872B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195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299FAF8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0D9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74A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0F1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C87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691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B9F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7F4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1CB1622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DCD7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321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DECENTRALIZIRANA SREDSTVA-SREDNJE ŠKOLSTVO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3AE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25.603,00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2BA5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25.603,00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0F2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FED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CA4268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E430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13C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E21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25.603,00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E2A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25.603,00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C0E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5C2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37E248F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68F9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E599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F93E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D88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3.578,58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4F4E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584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C5BF2E5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657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F56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1C6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40B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7.520,26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0B3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FDF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7F3990C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2E1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D16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97F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84E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F4B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56B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825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7DD129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349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5F09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488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A9C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F1FD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378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2E737A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E9E1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C38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E222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313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CF40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A3B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9CB37ED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3CB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CDF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61B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175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8CD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25D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680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5A6CA0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D23B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DCA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EE2F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085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2.793,06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2AA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FB9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C0F1653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F1B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DEE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286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9AC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E0A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DD2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1E7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AC60A1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262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676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A2B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77E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124,75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044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018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48DB87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8FE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EEC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1C2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C082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3.134,53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161D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316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2CC990D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D59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E19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FD0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BE9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D13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134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AB1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41578B9A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5FC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EA61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899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1E8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8B46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C18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58C0E4A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3681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14D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4C9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EA6E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1.062,55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5BD4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A3E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C75DCAA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154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5FC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A7E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AC8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705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BE1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9E4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F2905D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3B8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693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1AE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16A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1.270,50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5BA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14B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F26A47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2222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6426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829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258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6DF9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C5F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81A0E74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6BB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8EE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B63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344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53D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6D5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B32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E182326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661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393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14A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E3D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B08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394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B1A5E0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637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98CF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DD8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A9A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1.539,61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960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4CC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236EEC6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6C4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11A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AF7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883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052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E0A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D3B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699D5F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F81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AC9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D66E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1BFF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B0A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313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0067DE9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3DC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53E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F03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DD9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0C5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71C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732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F3A089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9111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50B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30AA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422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1.980,00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07C2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F33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C8253A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E4D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1F19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8C5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E46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1.196,51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241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F8F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ECA0457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A15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783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FE1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8FB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7E1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99B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CFE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FAED1D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656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F2A1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2EE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B06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153,69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5B9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15A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94965D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9F4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A0E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EC5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CE70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23,46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885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F27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C896CF7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F1A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18C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FE5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F3E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940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4DC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631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2C76E4D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5E4E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02A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A15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8CE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809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FDD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A8E9885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C7A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BE03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67DD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6A0B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266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37C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71BF01F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0E3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37E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F7B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628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B0B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9C8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890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1065032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7AFC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28F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2F34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CC8E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35,50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4B3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823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85D6E7D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7A4D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E7F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74A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DEB8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8BF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536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CC111E5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8ED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E1B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FD0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579,37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BD6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D36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54E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5C3B4E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8332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BC3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10F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579,37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B0FF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17BA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BE8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B02E5E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F1C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B8D3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4CDF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F7BC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BD6A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DDA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9E73EEC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ACC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FF1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38E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7D7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E52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BA3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DBC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A9BDD1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CC6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FA88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1B28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398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D1BF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00F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FE37EA5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966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6EC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396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38E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904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64B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8CC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29FC2B4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688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65D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2F5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F47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CEA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6FB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62BE569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5348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3B4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953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4B7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3BA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CE2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60C1865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DF0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39B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9BA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8F9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33E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214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287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3C9CE66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0AE0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0825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B72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C0C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F87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EDB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16F133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2F3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45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52B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OSTALI NESPOMENUTI PRIHODI - 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80F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704,13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491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50,15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98E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7,12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7DF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95253C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194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1687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F16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704,13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7CC0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50,15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CB7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7,12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3A3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5DFAE9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4E68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D0F8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98E4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30FC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400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144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026DF8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F04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BA7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7B8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F61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965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7A3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DF7BB03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1DB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1A9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14D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F51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63E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41A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680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3A114905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5B5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551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760A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8.485,37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6FF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3.765,24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91E0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44,37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68E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605BE5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110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BC3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5EA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F0FF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D0D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E54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93DC9D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3399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1B9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33F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8.109,95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8EF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3.389,82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C43B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41,80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662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FA30F8D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6273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FD9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618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3F2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569,53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8A33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C40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25BA4BF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4C1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081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670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D5E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7E97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856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5862674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158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4D8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6B0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682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332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50F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AA0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02C4F2DD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298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DD6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9D5E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6AD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230,95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09FF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8DF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DBB2511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B49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05E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517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A33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46E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13C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05B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2D1C8A3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A4E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77CA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9A2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F70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141,47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A32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FB2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6041CF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777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8E6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046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6BEB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B5F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C13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387759A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F0F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222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2E5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B8F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EBD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4FD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64D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5FA11F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8B8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B51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A39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9254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FDC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346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AC4392F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BDB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3F7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A42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9752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130,91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F9B0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2BA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70DB11F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6F8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80E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097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BA6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F1E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5D9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58A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4E88ECB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0EF0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653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A78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CF19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1.429,75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96C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526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F9414E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F1F1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C9E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23B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09D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34F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746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CAED74B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472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629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8ED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2F8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706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5D9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1D7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63A6BAA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296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ED6A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22D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0E8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79,55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875D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2A3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A6A124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77E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877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D2A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11E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26,66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FF8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355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40661DD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344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D67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ABE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AA9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1FE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C23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C31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2A4507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540D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4A1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69F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375,42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24D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375,42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CB6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690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DD8289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FC91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15F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293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6C0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375,42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960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ED8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12C0DE6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ABB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149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3DF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229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F05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329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984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D38F75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012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63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064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D66A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3.024,31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6E5A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1.783,08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6C1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58,96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977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25F777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6636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1591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90F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3.024,31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C08E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1.783,08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E44D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58,96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759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26887BA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319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849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403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8AB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66E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6C0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39691F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E63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B27A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94C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338E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232,18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F33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73C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D65CB3D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D5C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D2F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4DA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D5C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8E7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03C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E5D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55026A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C45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2E1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5B1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EA3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0C7F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B26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C91E11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7E3E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06B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D76F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A94B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EAE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53A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F584EEB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3A3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3A1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18F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936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9D8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2C1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A68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2FBC52D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8861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C9F1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BF2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5CCF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326,63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B8E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775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CD645D9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3CC7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7C57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ACE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423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CF4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E9C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0A532AA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70A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497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978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DC9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9DE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0D0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720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C24F73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8AB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319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81D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0B1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160,68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BA12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544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416E3AA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E78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F04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479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E1A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32F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F3E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65D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0433C1C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90F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Kapitalni projekt K107002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A4B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ULAGANJA 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7E2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10.488,03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AC8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8.033,95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BBB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76,60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35C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C1222F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DD3F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ABC4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DECENTRALIZIRANA SREDSTVA-SREDNJE ŠKOLSTVO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8CB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26A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2DF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06E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FDB5ED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1D0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1B7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A8B3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B79A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9A4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1A4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8B73D95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1AB9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122D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166A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C978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4.349,01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9F2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F44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87A323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2454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8D84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E4F6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8BEA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1.051,99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76BF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549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DDF7419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454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210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4BB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FE0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3C1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221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9CD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3EAE885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5A43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8E61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F9E4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6E94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0DF9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EC5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96C80D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0982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7B9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1F0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0F9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092C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25F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E5210BB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D1E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942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0C8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B27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488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BBE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C0B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0B87275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8D77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F8C2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FD74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CFD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AB1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731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569E2D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740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CDB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F21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66C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760,12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C02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25,34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71A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CF124AD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7E7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3FF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7271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2C1C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760,12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63E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25,34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A3D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AB6C2E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FC4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229B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600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8A5A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47C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E79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CE075BE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0E7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5F9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045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820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F26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56C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BF6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AB9D71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C16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06D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4184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5CF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760,12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D9BB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D01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438E17A" w14:textId="77777777" w:rsidTr="007F0BEB">
        <w:trPr>
          <w:trHeight w:val="525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9E8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63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D53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3A5C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588,03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BA7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373,83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A068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63,57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263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AF9A81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EC27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0B1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19CF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588,03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EA1B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373,83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C7D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63,57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90C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95F418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6D3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E8B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997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FE3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373,83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0770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A14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C147C1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304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PROGRAM    7004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1C8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DODATNI PROGRAM SREDNJEG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A7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78.495,70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463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63.092,97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09D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80,38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771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347B9E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9EDF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Tekući projekt T107004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B655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EU PROJEKTI SŠ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A919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54.723,70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F49E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41.890,08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282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76,55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C54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D61B3DD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20C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58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D1C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SREDSTVA EU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9F4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54.723,70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5AA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41.890,08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F1D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76,55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B26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23D0AE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2A0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563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7805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BB6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864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670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F76863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707F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91B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93B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877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55C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497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C9C961C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DA7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112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AE2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1BD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D33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472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BEA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043D6996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85A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AE4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D229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51.523,70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419E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40.450,67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64B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78,51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C53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D69B99C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83F1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A080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32C9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194B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2E26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A26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644C266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631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9BB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27E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BF8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19.665,20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3666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02D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318F41D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9EE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6B5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F8B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A98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3F9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6F7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AEC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058A15E6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9E50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593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BD0D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D33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D76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258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3D1CDA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6C83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872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D8EB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97D9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578,98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F12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37F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F9B6308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7D9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FD7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C8D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080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83D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436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2CD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6C88BAF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15B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690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C69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B6F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61F3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6A6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5728542" w14:textId="77777777" w:rsidTr="007F0BEB">
        <w:trPr>
          <w:trHeight w:val="525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8A9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B70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430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92A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6.110,00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D71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D06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92969E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F3B9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2C5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B67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90D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E53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49E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2E3011D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93B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E5E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32D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77C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172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622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448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257D66E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E5CD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3238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BEB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A4BF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581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F1C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383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44CA78A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0664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FC55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ADB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4E6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1.170,52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8D3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719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2925143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325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4D2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186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09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33C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8AA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001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4EC3FC3D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3CF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3064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918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2AD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9.786,19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D17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BDB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744A65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7E4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87D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A5FE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F0DF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1.738,31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7BB2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FD1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8378884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0DA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B1E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D1A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81E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686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864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B28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10A91FF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CF9C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5E1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97A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F92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1.073,11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F19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EBB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3E0B00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B72A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9EE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DD4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EC7D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239,41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047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11,97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BA5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600C62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D1CD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8FF9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F06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AF5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239,41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0D5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00A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E824FF6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943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38ED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B21F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F07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7DE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4EF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7FD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66FCDDF5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84C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Aktivnost A107010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B72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CENTRI IZVRSNOSTI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8A86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23.772,00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C26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21.202,89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B9F7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89,19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8A7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ABA10A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DAF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C233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43D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23.772,00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9EFD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21.202,89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3AE9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89,19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2D9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6C6EC4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D5F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67C3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EE4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2.040,00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E39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2.038,76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D3B4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99,94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CC5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C70233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2AB3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E636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714E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5A4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2.038,76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417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72F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3C6F8AF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A2A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E60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F3C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496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75F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AA3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F00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04AA151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236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C10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A2C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9.932,00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5EF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7.753,36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61C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78,06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072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CA77849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72C5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C75B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009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83A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2.093,24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69AD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4AE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184326D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4AA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3DDF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FDA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075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1.459,58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C73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FDB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D3A0E55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2F4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982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A0D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E4D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07A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7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C4A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4C1E26D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B56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0518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3FCD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6727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856,13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1C38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ECE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D2190E6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6016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450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3EB8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EA9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63C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7B7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48B7BEC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B8C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490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E43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C99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043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767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8DD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0AFF6EC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DBCE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2EF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221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63C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3.344,41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D06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790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002A31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BAB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BA0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8DE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CDF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A27E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DB0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FDD35C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997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C68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0B70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11.800,00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6CA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11.410,77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10F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96,70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CCD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6A03E98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1AE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542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518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ACE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3C6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B40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6A0B95B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F17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F89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8AD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B61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75D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179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FAA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698E5DAF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B13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B76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4F8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732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4.795,40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ED0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4F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79675B55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EDE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620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3EA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58E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EC3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C05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929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360A644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B9B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D32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Instrumenti i uređaji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B2E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B21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1.165,36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E1D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F71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90B1E2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684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8430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F8E0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958E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5.450,01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430A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E41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135CD02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998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8D9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ABC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D30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353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989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8AE8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7CF3F97B" w14:textId="77777777" w:rsidTr="007F0BEB">
        <w:trPr>
          <w:trHeight w:val="645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A0B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GLAVA    00708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6D6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UPRAVNI ODJEL ZA OBRAZOVANJE, ZDRAVSTVO, SOCIJALNU SKRB I HRVATSKE BRANITELJE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5171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2.314,25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547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1.386,43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89B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59,91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F5C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3965CF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6DF6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 financiranja   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D4F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1F8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5A4C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155,00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862A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34,07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AB0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B4388E1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74F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D469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9EC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1.859,25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CC2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1.231,43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9ACD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66,23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8DB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433193F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707D0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PROGRAM    7005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A75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PROGRAM UPRAVNOG ODJELA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299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2.314,25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36B2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1.386,43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2CD8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59,91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62E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9BB0CA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C843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Aktivnost A107011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9154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NATJECANJA-OSNOVNE I SREDNJE ŠKOLE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78A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854,25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EFCF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225,25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C004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26,37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73A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277B0E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0633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B0FF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7E0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455,00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6E1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155,00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48B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34,07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84C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D31CF3C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C71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646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689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1FB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155,00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93AD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8E1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EE7072D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2AB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299D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826E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A497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155,00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F4E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353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B48A40B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350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DB5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0F8A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FBC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92B5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FC2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1CB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53AF67B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097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1C4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808F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92CC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81A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28D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216C8813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AAD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3691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ECD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437B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57F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F7A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6F6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5A728A42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FE58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64DB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00D7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399,25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2747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70,25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BCF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17,60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315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0BA541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EFF2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B08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77B45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0D77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C79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E47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88CA3D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CC4C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2668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6BF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D1C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7A1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749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33061C3D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1566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9690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E81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2CD3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6C67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6569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5D9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E4D8CEE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61FAA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6585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71F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D19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7FC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C5E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1FF3D96" w14:textId="77777777" w:rsidTr="007F0B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6804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4E52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9D1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89FC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8F91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93CE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0F6B" w14:textId="77777777" w:rsidR="007F0BEB" w:rsidRPr="007F0BEB" w:rsidRDefault="007F0BEB" w:rsidP="007F0BE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7F0BEB" w:rsidRPr="007F0BEB" w14:paraId="5980246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A626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F05FB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54DD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70,25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15C4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70,25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4CB0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C38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626494F7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6D44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3691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7CE1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F9FE7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246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70,25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05CB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A5C8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4B1FEB56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3A11F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Tekući projekt T107021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FBF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ŠKOLSKA SHEMA 2024/2025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6836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DB8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1.161,18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D7B3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79,53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E73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141EAB76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2659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Izvor financiranja   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F196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POMOĆI IZ PRORAČUNA - EU ŽUPANIJA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C562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1BCB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1.161,18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EF066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  <w:t>79,53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2EA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B2FF880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8097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1FEE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F01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605E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1.161,18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C5B9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79,53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204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7F0BEB" w:rsidRPr="007F0BEB" w14:paraId="0B1AFE49" w14:textId="77777777" w:rsidTr="007F0BEB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D07C3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A5B2" w14:textId="77777777" w:rsidR="007F0BEB" w:rsidRPr="007F0BEB" w:rsidRDefault="007F0BEB" w:rsidP="007F0B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4800D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112DF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1.161,18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A591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7F0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7A20" w14:textId="77777777" w:rsidR="007F0BEB" w:rsidRPr="007F0BEB" w:rsidRDefault="007F0BEB" w:rsidP="007F0B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</w:tbl>
    <w:p w14:paraId="4796D876" w14:textId="77777777" w:rsidR="007F0BEB" w:rsidRDefault="007F0BEB"/>
    <w:p w14:paraId="126AFE24" w14:textId="77777777" w:rsidR="00674136" w:rsidRDefault="00674136"/>
    <w:p w14:paraId="27DBAE6A" w14:textId="77777777" w:rsidR="002E67E0" w:rsidRDefault="002E67E0" w:rsidP="002E67E0">
      <w:pPr>
        <w:rPr>
          <w:b/>
          <w:sz w:val="32"/>
          <w:szCs w:val="32"/>
        </w:rPr>
      </w:pPr>
    </w:p>
    <w:p w14:paraId="3F768F6E" w14:textId="77777777" w:rsidR="00EF406F" w:rsidRDefault="00EF406F" w:rsidP="002E67E0">
      <w:pPr>
        <w:rPr>
          <w:b/>
          <w:sz w:val="32"/>
          <w:szCs w:val="32"/>
        </w:rPr>
      </w:pPr>
    </w:p>
    <w:p w14:paraId="5B48DB95" w14:textId="77777777" w:rsidR="00EF406F" w:rsidRDefault="00EF406F" w:rsidP="002E67E0">
      <w:pPr>
        <w:rPr>
          <w:b/>
          <w:sz w:val="32"/>
          <w:szCs w:val="32"/>
        </w:rPr>
      </w:pPr>
    </w:p>
    <w:p w14:paraId="0F4FF0CE" w14:textId="77777777" w:rsidR="00EF406F" w:rsidRDefault="00EF406F" w:rsidP="002E67E0">
      <w:pPr>
        <w:rPr>
          <w:b/>
          <w:sz w:val="32"/>
          <w:szCs w:val="32"/>
        </w:rPr>
      </w:pPr>
    </w:p>
    <w:p w14:paraId="0A596261" w14:textId="77777777" w:rsidR="00EF406F" w:rsidRDefault="00EF406F" w:rsidP="002E67E0">
      <w:pPr>
        <w:rPr>
          <w:b/>
          <w:sz w:val="32"/>
          <w:szCs w:val="32"/>
        </w:rPr>
      </w:pPr>
    </w:p>
    <w:p w14:paraId="39B984F2" w14:textId="77777777" w:rsidR="00EF406F" w:rsidRDefault="00EF406F" w:rsidP="002E67E0">
      <w:pPr>
        <w:rPr>
          <w:b/>
          <w:sz w:val="32"/>
          <w:szCs w:val="32"/>
        </w:rPr>
      </w:pPr>
    </w:p>
    <w:p w14:paraId="0D1B1764" w14:textId="77777777" w:rsidR="00EF406F" w:rsidRDefault="00EF406F" w:rsidP="002E67E0">
      <w:pPr>
        <w:rPr>
          <w:b/>
          <w:sz w:val="32"/>
          <w:szCs w:val="32"/>
        </w:rPr>
      </w:pPr>
    </w:p>
    <w:p w14:paraId="02BC5ACA" w14:textId="77777777" w:rsidR="00EF406F" w:rsidRDefault="00EF406F" w:rsidP="002E67E0">
      <w:pPr>
        <w:rPr>
          <w:b/>
          <w:sz w:val="32"/>
          <w:szCs w:val="32"/>
        </w:rPr>
      </w:pPr>
    </w:p>
    <w:p w14:paraId="342554A6" w14:textId="77777777" w:rsidR="00EF406F" w:rsidRDefault="00EF406F" w:rsidP="002E67E0">
      <w:pPr>
        <w:rPr>
          <w:b/>
          <w:sz w:val="32"/>
          <w:szCs w:val="32"/>
        </w:rPr>
      </w:pPr>
    </w:p>
    <w:p w14:paraId="3E53FC00" w14:textId="77777777" w:rsidR="00EF406F" w:rsidRDefault="00EF406F" w:rsidP="002E67E0">
      <w:pPr>
        <w:rPr>
          <w:b/>
          <w:sz w:val="32"/>
          <w:szCs w:val="32"/>
        </w:rPr>
      </w:pPr>
    </w:p>
    <w:p w14:paraId="4C809579" w14:textId="77777777" w:rsidR="00EF406F" w:rsidRDefault="00EF406F" w:rsidP="002E67E0">
      <w:pPr>
        <w:rPr>
          <w:b/>
          <w:sz w:val="32"/>
          <w:szCs w:val="32"/>
        </w:rPr>
      </w:pPr>
    </w:p>
    <w:p w14:paraId="3C00091D" w14:textId="77777777" w:rsidR="00EF406F" w:rsidRDefault="00EF406F" w:rsidP="002E67E0">
      <w:pPr>
        <w:rPr>
          <w:b/>
          <w:sz w:val="32"/>
          <w:szCs w:val="32"/>
        </w:rPr>
      </w:pPr>
    </w:p>
    <w:p w14:paraId="56B4B815" w14:textId="77777777" w:rsidR="00EF406F" w:rsidRDefault="00EF406F" w:rsidP="002E67E0">
      <w:pPr>
        <w:rPr>
          <w:b/>
          <w:sz w:val="32"/>
          <w:szCs w:val="32"/>
        </w:rPr>
      </w:pPr>
    </w:p>
    <w:p w14:paraId="17F7E318" w14:textId="77777777" w:rsidR="00EF406F" w:rsidRDefault="00EF406F" w:rsidP="002E67E0">
      <w:pPr>
        <w:rPr>
          <w:b/>
          <w:sz w:val="32"/>
          <w:szCs w:val="32"/>
        </w:rPr>
      </w:pPr>
    </w:p>
    <w:p w14:paraId="107F78CD" w14:textId="77777777" w:rsidR="00EF406F" w:rsidRDefault="00EF406F" w:rsidP="002E67E0">
      <w:pPr>
        <w:rPr>
          <w:b/>
          <w:sz w:val="32"/>
          <w:szCs w:val="32"/>
        </w:rPr>
      </w:pPr>
    </w:p>
    <w:p w14:paraId="0D77D29F" w14:textId="77777777" w:rsidR="00EF406F" w:rsidRDefault="00EF406F" w:rsidP="002E67E0">
      <w:pPr>
        <w:rPr>
          <w:b/>
          <w:sz w:val="32"/>
          <w:szCs w:val="32"/>
        </w:rPr>
      </w:pPr>
    </w:p>
    <w:p w14:paraId="1E1219D7" w14:textId="77777777" w:rsidR="00EF406F" w:rsidRDefault="00EF406F" w:rsidP="002E67E0">
      <w:pPr>
        <w:rPr>
          <w:b/>
          <w:sz w:val="32"/>
          <w:szCs w:val="32"/>
        </w:rPr>
      </w:pPr>
    </w:p>
    <w:p w14:paraId="0210A3C4" w14:textId="77777777" w:rsidR="00EF406F" w:rsidRDefault="00EF406F" w:rsidP="002E67E0">
      <w:pPr>
        <w:rPr>
          <w:b/>
          <w:sz w:val="32"/>
          <w:szCs w:val="32"/>
        </w:rPr>
      </w:pPr>
    </w:p>
    <w:p w14:paraId="3C3D6CFD" w14:textId="77777777" w:rsidR="00EF406F" w:rsidRDefault="00EF406F" w:rsidP="002E67E0">
      <w:pPr>
        <w:rPr>
          <w:b/>
          <w:sz w:val="32"/>
          <w:szCs w:val="32"/>
        </w:rPr>
      </w:pPr>
    </w:p>
    <w:p w14:paraId="2DCE17EC" w14:textId="77777777" w:rsidR="002E67E0" w:rsidRDefault="002E67E0" w:rsidP="002E67E0">
      <w:pPr>
        <w:rPr>
          <w:b/>
          <w:sz w:val="32"/>
          <w:szCs w:val="32"/>
        </w:rPr>
      </w:pPr>
    </w:p>
    <w:p w14:paraId="631AFFE6" w14:textId="77777777" w:rsidR="00956092" w:rsidRDefault="00956092" w:rsidP="002E67E0">
      <w:pPr>
        <w:rPr>
          <w:b/>
          <w:sz w:val="32"/>
          <w:szCs w:val="32"/>
        </w:rPr>
      </w:pPr>
    </w:p>
    <w:p w14:paraId="6A962355" w14:textId="77777777" w:rsidR="002E67E0" w:rsidRDefault="002E67E0" w:rsidP="002E67E0">
      <w:pPr>
        <w:rPr>
          <w:b/>
          <w:sz w:val="32"/>
          <w:szCs w:val="32"/>
        </w:rPr>
      </w:pPr>
    </w:p>
    <w:p w14:paraId="3A1FCBA3" w14:textId="77777777" w:rsidR="00956092" w:rsidRDefault="00BF636F" w:rsidP="00956092">
      <w:pPr>
        <w:jc w:val="center"/>
        <w:rPr>
          <w:b/>
          <w:sz w:val="32"/>
          <w:szCs w:val="32"/>
        </w:rPr>
      </w:pPr>
      <w:r w:rsidRPr="008904CB">
        <w:rPr>
          <w:b/>
          <w:sz w:val="32"/>
          <w:szCs w:val="32"/>
        </w:rPr>
        <w:t>Obrazloženje godišnjeg izvještaja o izvršenju financijskog  plana</w:t>
      </w:r>
    </w:p>
    <w:p w14:paraId="20461E18" w14:textId="701C6AB0" w:rsidR="00BF636F" w:rsidRPr="008904CB" w:rsidRDefault="00BF636F" w:rsidP="00956092">
      <w:pPr>
        <w:jc w:val="center"/>
        <w:rPr>
          <w:b/>
          <w:sz w:val="32"/>
          <w:szCs w:val="32"/>
        </w:rPr>
      </w:pPr>
      <w:r w:rsidRPr="008904CB">
        <w:rPr>
          <w:b/>
          <w:sz w:val="32"/>
          <w:szCs w:val="32"/>
        </w:rPr>
        <w:t>za 202</w:t>
      </w:r>
      <w:r w:rsidR="0055527C" w:rsidRPr="008904CB">
        <w:rPr>
          <w:b/>
          <w:sz w:val="32"/>
          <w:szCs w:val="32"/>
        </w:rPr>
        <w:t>5</w:t>
      </w:r>
      <w:r w:rsidRPr="008904CB">
        <w:rPr>
          <w:b/>
          <w:sz w:val="32"/>
          <w:szCs w:val="32"/>
        </w:rPr>
        <w:t>. godinu</w:t>
      </w:r>
    </w:p>
    <w:p w14:paraId="3CFD3558" w14:textId="77777777" w:rsidR="00BF636F" w:rsidRDefault="00BF636F" w:rsidP="00BF636F">
      <w:pPr>
        <w:jc w:val="center"/>
        <w:rPr>
          <w:b/>
        </w:rPr>
      </w:pPr>
    </w:p>
    <w:p w14:paraId="315A6422" w14:textId="77777777" w:rsidR="00494068" w:rsidRDefault="00494068" w:rsidP="00BF636F">
      <w:pPr>
        <w:jc w:val="center"/>
        <w:rPr>
          <w:b/>
        </w:rPr>
      </w:pPr>
    </w:p>
    <w:p w14:paraId="33516BF7" w14:textId="77777777" w:rsidR="00494068" w:rsidRPr="006C35D7" w:rsidRDefault="00494068" w:rsidP="00BF636F">
      <w:pPr>
        <w:jc w:val="center"/>
        <w:rPr>
          <w:b/>
        </w:rPr>
      </w:pPr>
    </w:p>
    <w:p w14:paraId="58F43467" w14:textId="77777777" w:rsidR="00BF636F" w:rsidRPr="006C35D7" w:rsidRDefault="00BF636F" w:rsidP="00BF636F">
      <w:pPr>
        <w:jc w:val="center"/>
        <w:rPr>
          <w:bCs/>
        </w:rPr>
      </w:pPr>
    </w:p>
    <w:p w14:paraId="2B8B3F8B" w14:textId="77777777" w:rsidR="00BF636F" w:rsidRPr="006C35D7" w:rsidRDefault="00BF636F" w:rsidP="00BF636F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D7">
        <w:rPr>
          <w:rFonts w:ascii="Times New Roman" w:hAnsi="Times New Roman" w:cs="Times New Roman"/>
          <w:b/>
          <w:sz w:val="28"/>
          <w:szCs w:val="28"/>
        </w:rPr>
        <w:t>Opći dio</w:t>
      </w:r>
    </w:p>
    <w:p w14:paraId="18116F18" w14:textId="77777777" w:rsidR="00BF636F" w:rsidRPr="006C35D7" w:rsidRDefault="00BF636F" w:rsidP="00BF636F">
      <w:pPr>
        <w:rPr>
          <w:bCs/>
        </w:rPr>
      </w:pPr>
    </w:p>
    <w:p w14:paraId="6FDFBD03" w14:textId="10DB3A11" w:rsidR="00BF636F" w:rsidRPr="006C35D7" w:rsidRDefault="00BF636F" w:rsidP="00BF636F">
      <w:pPr>
        <w:rPr>
          <w:b/>
        </w:rPr>
      </w:pPr>
      <w:r w:rsidRPr="006C35D7">
        <w:t xml:space="preserve"> Proračun Gimnazije dr. Ivana Kranjčeva Đurđevac za 202</w:t>
      </w:r>
      <w:r w:rsidR="00EF5232">
        <w:t>5</w:t>
      </w:r>
      <w:r w:rsidRPr="006C35D7">
        <w:t>. godinu sa projekcijama za 202</w:t>
      </w:r>
      <w:r w:rsidR="00EF5232">
        <w:t>6</w:t>
      </w:r>
      <w:r w:rsidRPr="006C35D7">
        <w:t>. i 202</w:t>
      </w:r>
      <w:r w:rsidR="00EF5232">
        <w:t>7</w:t>
      </w:r>
      <w:r w:rsidRPr="006C35D7">
        <w:t>. godinu usvojen je na sjednici Školskog odbora</w:t>
      </w:r>
      <w:r w:rsidR="00EF5232">
        <w:t xml:space="preserve"> od</w:t>
      </w:r>
      <w:r w:rsidRPr="006C35D7">
        <w:t xml:space="preserve"> </w:t>
      </w:r>
      <w:r w:rsidR="00EF5232">
        <w:t>22.10</w:t>
      </w:r>
      <w:r w:rsidRPr="006C35D7">
        <w:t>.202</w:t>
      </w:r>
      <w:r w:rsidR="00EF5232">
        <w:t>4</w:t>
      </w:r>
      <w:r w:rsidRPr="006C35D7">
        <w:t xml:space="preserve">. godine. Sadržaj Godišnjeg  izvještaja o izvršenju Proračuna propisan je Zakonom o proračunu (NN.144/21 i Pravilnikom o polugodišnjem i godišnjem izvještaju o izvršenju proračuna NN 85/2023.) (u daljnjem tekstu: Pravilnik) </w:t>
      </w:r>
      <w:r w:rsidRPr="006C35D7">
        <w:rPr>
          <w:highlight w:val="lightGray"/>
        </w:rPr>
        <w:t xml:space="preserve"> </w:t>
      </w:r>
      <w:r w:rsidRPr="006C35D7">
        <w:t xml:space="preserve"> </w:t>
      </w:r>
    </w:p>
    <w:p w14:paraId="75631F5C" w14:textId="77777777" w:rsidR="00BF636F" w:rsidRPr="006C35D7" w:rsidRDefault="00BF636F" w:rsidP="00BF636F"/>
    <w:p w14:paraId="76B7159D" w14:textId="77777777" w:rsidR="00BF636F" w:rsidRDefault="00BF636F" w:rsidP="00BF636F"/>
    <w:p w14:paraId="1BB2A47A" w14:textId="77777777" w:rsidR="00494068" w:rsidRDefault="00494068" w:rsidP="00BF636F"/>
    <w:p w14:paraId="0F107F3F" w14:textId="77777777" w:rsidR="00494068" w:rsidRPr="006C35D7" w:rsidRDefault="00494068" w:rsidP="00BF636F"/>
    <w:p w14:paraId="68C5185A" w14:textId="77777777" w:rsidR="00BF636F" w:rsidRPr="006C35D7" w:rsidRDefault="00BF636F" w:rsidP="00BF636F"/>
    <w:p w14:paraId="6C441952" w14:textId="3315D86F" w:rsidR="00BF636F" w:rsidRPr="006C35D7" w:rsidRDefault="00BF636F" w:rsidP="00BF636F">
      <w:pPr>
        <w:rPr>
          <w:bCs/>
          <w:u w:val="single"/>
        </w:rPr>
      </w:pPr>
      <w:r w:rsidRPr="006C35D7">
        <w:rPr>
          <w:bCs/>
          <w:color w:val="7030A0"/>
          <w:u w:val="single"/>
        </w:rPr>
        <w:t xml:space="preserve"> </w:t>
      </w:r>
      <w:r w:rsidRPr="006C35D7">
        <w:rPr>
          <w:bCs/>
          <w:u w:val="single"/>
        </w:rPr>
        <w:t>Pregled prihoda ostvarenih u razdoblju od 1.1.</w:t>
      </w:r>
      <w:r w:rsidR="00C43CA1">
        <w:rPr>
          <w:bCs/>
          <w:u w:val="single"/>
        </w:rPr>
        <w:t>-</w:t>
      </w:r>
      <w:r w:rsidR="008B3171">
        <w:rPr>
          <w:bCs/>
          <w:u w:val="single"/>
        </w:rPr>
        <w:t>3</w:t>
      </w:r>
      <w:r w:rsidR="009715E8">
        <w:rPr>
          <w:bCs/>
          <w:u w:val="single"/>
        </w:rPr>
        <w:t>1</w:t>
      </w:r>
      <w:r w:rsidR="008B3171">
        <w:rPr>
          <w:bCs/>
          <w:u w:val="single"/>
        </w:rPr>
        <w:t>.</w:t>
      </w:r>
      <w:r w:rsidR="009715E8">
        <w:rPr>
          <w:bCs/>
          <w:u w:val="single"/>
        </w:rPr>
        <w:t>12</w:t>
      </w:r>
      <w:r w:rsidR="008B3171">
        <w:rPr>
          <w:bCs/>
          <w:u w:val="single"/>
        </w:rPr>
        <w:t>.2025</w:t>
      </w:r>
      <w:r w:rsidRPr="006C35D7">
        <w:rPr>
          <w:bCs/>
          <w:u w:val="single"/>
        </w:rPr>
        <w:t xml:space="preserve">. godine. – </w:t>
      </w:r>
      <w:r w:rsidR="00030533">
        <w:rPr>
          <w:bCs/>
          <w:u w:val="single"/>
        </w:rPr>
        <w:t>875.018,60</w:t>
      </w:r>
      <w:r w:rsidRPr="006C35D7">
        <w:rPr>
          <w:bCs/>
          <w:u w:val="single"/>
        </w:rPr>
        <w:t xml:space="preserve"> €</w:t>
      </w:r>
    </w:p>
    <w:p w14:paraId="0B8C5CD2" w14:textId="77777777" w:rsidR="00BF636F" w:rsidRPr="006C35D7" w:rsidRDefault="00BF636F" w:rsidP="00BF636F">
      <w:pPr>
        <w:rPr>
          <w:b/>
          <w:color w:val="7030A0"/>
          <w:u w:val="single"/>
        </w:rPr>
      </w:pPr>
    </w:p>
    <w:p w14:paraId="22D1ABD9" w14:textId="1CA9E5CD" w:rsidR="00BF636F" w:rsidRDefault="00BF636F" w:rsidP="00BF636F">
      <w:r w:rsidRPr="006C35D7">
        <w:t xml:space="preserve">Pomoći proračunskim korisnicima iz proračuna koji im nije nadležan: </w:t>
      </w:r>
      <w:r w:rsidR="00D36AD1">
        <w:t>=</w:t>
      </w:r>
      <w:r w:rsidR="00632EEC">
        <w:t>793.071,25</w:t>
      </w:r>
      <w:r w:rsidR="00D36AD1">
        <w:t xml:space="preserve"> </w:t>
      </w:r>
      <w:r w:rsidRPr="006C35D7">
        <w:t>€ ( prihodi za plaće i doprinose zaposlenika, materijalna prava , sredstva za voditelje županijskih aktiva, sredstva za troškove državnih i županijskih natjecanja, sredstva NCVVO, sredstva za nabavu higijenskih potrepština</w:t>
      </w:r>
      <w:r w:rsidR="00D36AD1">
        <w:t>,</w:t>
      </w:r>
      <w:r w:rsidR="00F87FEF">
        <w:t xml:space="preserve"> s</w:t>
      </w:r>
      <w:r w:rsidRPr="006C35D7">
        <w:t>redstva Agencije za odgoj i obrazovanje za troškove državnih natjecanja</w:t>
      </w:r>
      <w:r w:rsidR="00632EEC">
        <w:t>, sredstva za nabavu knjiga za školsku knjižnicu, sredstva za nabavu udžbenika za uč. iz Ukrajine</w:t>
      </w:r>
      <w:r w:rsidRPr="006C35D7">
        <w:t>.</w:t>
      </w:r>
    </w:p>
    <w:p w14:paraId="53514621" w14:textId="77777777" w:rsidR="004D3D7B" w:rsidRDefault="004D3D7B" w:rsidP="00BF636F"/>
    <w:p w14:paraId="390CD9A8" w14:textId="36CFA2D4" w:rsidR="004D3D7B" w:rsidRDefault="004D3D7B" w:rsidP="00BF636F">
      <w:r>
        <w:t>Tekuće pomoći temeljem prijenosa EU sredstava: =21.561,07 € ( preostala sredstva za provođenje projekta Erasmus+ zbog promjena u načinu evidentiranja i korekcije rezultata za 2024. godinu evidentirana kao prihod 2025. godine i uplaćena sredstva po završnom izvješću za Erasmus akreditaciju)</w:t>
      </w:r>
    </w:p>
    <w:p w14:paraId="60BA6937" w14:textId="77777777" w:rsidR="00BF636F" w:rsidRPr="006C35D7" w:rsidRDefault="00BF636F" w:rsidP="00BF636F">
      <w:pPr>
        <w:rPr>
          <w:b/>
        </w:rPr>
      </w:pPr>
    </w:p>
    <w:p w14:paraId="6A634476" w14:textId="0F2F4F14" w:rsidR="00BF636F" w:rsidRPr="006C35D7" w:rsidRDefault="00BF636F" w:rsidP="00BF636F">
      <w:r w:rsidRPr="006C35D7">
        <w:rPr>
          <w:b/>
        </w:rPr>
        <w:t xml:space="preserve"> </w:t>
      </w:r>
      <w:r w:rsidRPr="006C35D7">
        <w:t>Prijenosi između proračunskih korisnika istog proračuna:</w:t>
      </w:r>
      <w:r w:rsidR="00D36AD1">
        <w:t>=</w:t>
      </w:r>
      <w:r w:rsidRPr="006C35D7">
        <w:t xml:space="preserve"> </w:t>
      </w:r>
      <w:r w:rsidR="00F87FEF">
        <w:t>54</w:t>
      </w:r>
      <w:r w:rsidRPr="006C35D7">
        <w:t>,00 € ( prihod za troškove prijevoza na županijskom natjecanju)</w:t>
      </w:r>
    </w:p>
    <w:p w14:paraId="7D4648C4" w14:textId="77777777" w:rsidR="00BF636F" w:rsidRPr="006C35D7" w:rsidRDefault="00BF636F" w:rsidP="00BF636F"/>
    <w:p w14:paraId="0C62889C" w14:textId="66F147A8" w:rsidR="00BF636F" w:rsidRDefault="00BF636F" w:rsidP="00BF636F">
      <w:r w:rsidRPr="006C35D7">
        <w:t>Tekući prijenos između proračunskih korisnika istog proračuna temeljem prijenosa EU sredstava: 1</w:t>
      </w:r>
      <w:r w:rsidR="004D3D7B">
        <w:t>.161,18</w:t>
      </w:r>
      <w:r w:rsidRPr="006C35D7">
        <w:t xml:space="preserve"> € (sredstva za provođenje projekta shema voća)</w:t>
      </w:r>
    </w:p>
    <w:p w14:paraId="4A12CB44" w14:textId="77777777" w:rsidR="004D3D7B" w:rsidRDefault="004D3D7B" w:rsidP="00BF636F"/>
    <w:p w14:paraId="5D62D6BC" w14:textId="7D03F37F" w:rsidR="004D3D7B" w:rsidRDefault="004D3D7B" w:rsidP="00BF636F">
      <w:r>
        <w:t>Kamate na oročena sredstva i depozite po viđenju: =0,01 €</w:t>
      </w:r>
    </w:p>
    <w:p w14:paraId="2034EC42" w14:textId="77777777" w:rsidR="007A57B5" w:rsidRDefault="007A57B5" w:rsidP="00BF636F"/>
    <w:p w14:paraId="410FA691" w14:textId="0009575B" w:rsidR="007A57B5" w:rsidRDefault="007A57B5" w:rsidP="00BF636F">
      <w:r>
        <w:t>Ostali nespomenuti prihodi: =50,00 €</w:t>
      </w:r>
    </w:p>
    <w:p w14:paraId="333A789B" w14:textId="7C6E4ED8" w:rsidR="007A57B5" w:rsidRPr="006C35D7" w:rsidRDefault="007A57B5" w:rsidP="00BF636F">
      <w:r>
        <w:t>(prihod od refundacije sredstava za prijevoz učenika -DSD)</w:t>
      </w:r>
    </w:p>
    <w:p w14:paraId="2F9978B6" w14:textId="77777777" w:rsidR="00BF636F" w:rsidRPr="006C35D7" w:rsidRDefault="00BF636F" w:rsidP="00BF636F"/>
    <w:p w14:paraId="2DB8B629" w14:textId="1C9C746F" w:rsidR="00BF636F" w:rsidRDefault="00BF636F" w:rsidP="00BF636F">
      <w:r w:rsidRPr="006C35D7">
        <w:t xml:space="preserve">Tekuće donacije: </w:t>
      </w:r>
      <w:r w:rsidR="00D36AD1">
        <w:t>=</w:t>
      </w:r>
      <w:r w:rsidR="004D3D7B">
        <w:t>2.038,00</w:t>
      </w:r>
      <w:r w:rsidRPr="006C35D7">
        <w:t xml:space="preserve"> € (sredstva za dnevnice nastavnika na stručnim ekskurzijama: razredne ekskurzije na kraju školske godine, donacija za fotografije učenika, nagrade za sudjelovanje na izvannastavnim aktivnostima i školskim natjecanjima.)</w:t>
      </w:r>
    </w:p>
    <w:p w14:paraId="130B2DB6" w14:textId="77777777" w:rsidR="00F87FEF" w:rsidRDefault="00F87FEF" w:rsidP="00BF636F"/>
    <w:p w14:paraId="2DD80BD1" w14:textId="15546054" w:rsidR="00F87FEF" w:rsidRPr="006C35D7" w:rsidRDefault="00F87FEF" w:rsidP="00BF636F">
      <w:r>
        <w:t>Kapitalne donacije: =444,00 € sredstva za nabavu knjiga za školsku knjižnicu</w:t>
      </w:r>
    </w:p>
    <w:p w14:paraId="223106C8" w14:textId="77777777" w:rsidR="00BF636F" w:rsidRPr="006C35D7" w:rsidRDefault="00BF636F" w:rsidP="00BF636F"/>
    <w:p w14:paraId="4DDDEFDC" w14:textId="05C52701" w:rsidR="00BF636F" w:rsidRPr="006C35D7" w:rsidRDefault="00BF636F" w:rsidP="00BF636F">
      <w:r w:rsidRPr="006C35D7">
        <w:t>Prihodi iz nadležnog proračuna za financiranje rashoda poslovanja:</w:t>
      </w:r>
      <w:r w:rsidR="00D36AD1">
        <w:t>=</w:t>
      </w:r>
      <w:r w:rsidR="004D3D7B">
        <w:t>38.328,32</w:t>
      </w:r>
      <w:r w:rsidRPr="006C35D7">
        <w:t xml:space="preserve"> €</w:t>
      </w:r>
    </w:p>
    <w:p w14:paraId="5647B685" w14:textId="0556E146" w:rsidR="00BF636F" w:rsidRPr="006C35D7" w:rsidRDefault="00BF636F" w:rsidP="00BF636F">
      <w:r w:rsidRPr="006C35D7">
        <w:t>(prihodi za podmirenje rashoda za zaposlene – službena putovanja i prijevoz zaposlenika, materijalne rashode, financijske rashode, prihodi za podmirenje metodološkog manjak, prihodi za financiranje centra izvrsnosti</w:t>
      </w:r>
      <w:r w:rsidR="004D3D7B">
        <w:t>)</w:t>
      </w:r>
    </w:p>
    <w:p w14:paraId="1831DFDD" w14:textId="77777777" w:rsidR="00BF636F" w:rsidRPr="006C35D7" w:rsidRDefault="00BF636F" w:rsidP="00BF636F"/>
    <w:p w14:paraId="4C65E911" w14:textId="0E2416A7" w:rsidR="00BF636F" w:rsidRPr="006C35D7" w:rsidRDefault="00BF636F" w:rsidP="00BF636F">
      <w:r w:rsidRPr="006C35D7">
        <w:t xml:space="preserve">Prihod iz nadležnog proračuna za financiranje rashoda za nabavu nefinancijske imovine: </w:t>
      </w:r>
      <w:r w:rsidR="00D36AD1">
        <w:t>=</w:t>
      </w:r>
      <w:r w:rsidR="004D3D7B">
        <w:t>18.310,77</w:t>
      </w:r>
      <w:r w:rsidRPr="006C35D7">
        <w:t xml:space="preserve"> € (</w:t>
      </w:r>
      <w:r w:rsidR="00D36AD1">
        <w:t>prihodi za nabavu opreme potrebne za redovno poslovanje i opreme za djelovanje centra izvrsnosti</w:t>
      </w:r>
      <w:r w:rsidRPr="006C35D7">
        <w:t>)</w:t>
      </w:r>
    </w:p>
    <w:p w14:paraId="7CAB0B76" w14:textId="77777777" w:rsidR="00BF636F" w:rsidRPr="006C35D7" w:rsidRDefault="00BF636F" w:rsidP="00BF636F">
      <w:pPr>
        <w:rPr>
          <w:b/>
        </w:rPr>
      </w:pPr>
      <w:r w:rsidRPr="006C35D7">
        <w:rPr>
          <w:b/>
        </w:rPr>
        <w:t xml:space="preserve"> </w:t>
      </w:r>
    </w:p>
    <w:p w14:paraId="1016A240" w14:textId="793A18F5" w:rsidR="00BF636F" w:rsidRDefault="00BF636F" w:rsidP="00BF636F">
      <w:pPr>
        <w:rPr>
          <w:bCs/>
          <w:u w:val="single"/>
        </w:rPr>
      </w:pPr>
      <w:r w:rsidRPr="006C35D7">
        <w:rPr>
          <w:bCs/>
          <w:u w:val="single"/>
        </w:rPr>
        <w:lastRenderedPageBreak/>
        <w:t>Rashodi poslovanja za razdoblje 1.1.-</w:t>
      </w:r>
      <w:r w:rsidR="00CF5657">
        <w:rPr>
          <w:bCs/>
          <w:u w:val="single"/>
        </w:rPr>
        <w:t>31.12</w:t>
      </w:r>
      <w:r w:rsidR="00C43CA1">
        <w:rPr>
          <w:bCs/>
          <w:u w:val="single"/>
        </w:rPr>
        <w:t>.2025</w:t>
      </w:r>
      <w:r w:rsidRPr="006C35D7">
        <w:rPr>
          <w:bCs/>
          <w:u w:val="single"/>
        </w:rPr>
        <w:t xml:space="preserve">. godinu – </w:t>
      </w:r>
      <w:r w:rsidR="00563B93">
        <w:rPr>
          <w:bCs/>
          <w:u w:val="single"/>
        </w:rPr>
        <w:t>961.103,43</w:t>
      </w:r>
      <w:r w:rsidRPr="006C35D7">
        <w:rPr>
          <w:bCs/>
          <w:u w:val="single"/>
        </w:rPr>
        <w:t xml:space="preserve"> €</w:t>
      </w:r>
    </w:p>
    <w:p w14:paraId="769B7835" w14:textId="77777777" w:rsidR="007F7BD1" w:rsidRDefault="007F7BD1" w:rsidP="00BF636F">
      <w:pPr>
        <w:rPr>
          <w:bCs/>
          <w:u w:val="single"/>
        </w:rPr>
      </w:pPr>
    </w:p>
    <w:p w14:paraId="4F5B27B9" w14:textId="77777777" w:rsidR="00BF636F" w:rsidRPr="006C35D7" w:rsidRDefault="00BF636F" w:rsidP="00BF636F">
      <w:pPr>
        <w:rPr>
          <w:bCs/>
        </w:rPr>
      </w:pPr>
    </w:p>
    <w:p w14:paraId="770FC011" w14:textId="3AC56DD7" w:rsidR="00BF636F" w:rsidRPr="006C35D7" w:rsidRDefault="00706972" w:rsidP="00BF636F">
      <w:pPr>
        <w:rPr>
          <w:bCs/>
        </w:rPr>
      </w:pPr>
      <w:r>
        <w:rPr>
          <w:bCs/>
        </w:rPr>
        <w:t>Rashodi za zaposlene</w:t>
      </w:r>
      <w:r w:rsidR="00093A27">
        <w:rPr>
          <w:bCs/>
        </w:rPr>
        <w:t>-p</w:t>
      </w:r>
      <w:r w:rsidR="008D315C">
        <w:rPr>
          <w:bCs/>
        </w:rPr>
        <w:t>laće</w:t>
      </w:r>
      <w:r w:rsidR="00093A27">
        <w:rPr>
          <w:bCs/>
        </w:rPr>
        <w:t xml:space="preserve"> i materijalna prava zaposlenika</w:t>
      </w:r>
      <w:r w:rsidR="00F928B3">
        <w:rPr>
          <w:bCs/>
        </w:rPr>
        <w:t>:</w:t>
      </w:r>
      <w:r w:rsidR="00093A27">
        <w:rPr>
          <w:bCs/>
        </w:rPr>
        <w:t xml:space="preserve"> </w:t>
      </w:r>
      <w:r w:rsidR="004F0B96">
        <w:rPr>
          <w:bCs/>
        </w:rPr>
        <w:t>=</w:t>
      </w:r>
      <w:r w:rsidR="00563B93">
        <w:rPr>
          <w:bCs/>
        </w:rPr>
        <w:t>854.879,91</w:t>
      </w:r>
      <w:r w:rsidR="00BF636F" w:rsidRPr="006C35D7">
        <w:rPr>
          <w:bCs/>
        </w:rPr>
        <w:t>€</w:t>
      </w:r>
    </w:p>
    <w:p w14:paraId="3248408A" w14:textId="5A75587F" w:rsidR="00BF636F" w:rsidRPr="006C35D7" w:rsidRDefault="008D315C" w:rsidP="00BF636F">
      <w:pPr>
        <w:rPr>
          <w:bCs/>
        </w:rPr>
      </w:pPr>
      <w:r>
        <w:rPr>
          <w:bCs/>
        </w:rPr>
        <w:t>Sredstva n</w:t>
      </w:r>
      <w:r w:rsidR="00BF636F" w:rsidRPr="006C35D7">
        <w:rPr>
          <w:bCs/>
        </w:rPr>
        <w:t>a ime plaća</w:t>
      </w:r>
      <w:r>
        <w:rPr>
          <w:bCs/>
        </w:rPr>
        <w:t xml:space="preserve"> za redovan rad, materijal</w:t>
      </w:r>
      <w:r w:rsidR="00706972">
        <w:rPr>
          <w:bCs/>
        </w:rPr>
        <w:t>nih</w:t>
      </w:r>
      <w:r>
        <w:rPr>
          <w:bCs/>
        </w:rPr>
        <w:t xml:space="preserve"> prava</w:t>
      </w:r>
      <w:r w:rsidR="00706972">
        <w:rPr>
          <w:bCs/>
        </w:rPr>
        <w:t xml:space="preserve"> zaposlenika, plaća za</w:t>
      </w:r>
      <w:r>
        <w:rPr>
          <w:bCs/>
        </w:rPr>
        <w:t xml:space="preserve"> prekovremeni r</w:t>
      </w:r>
      <w:r w:rsidR="00706972">
        <w:rPr>
          <w:bCs/>
        </w:rPr>
        <w:t xml:space="preserve">ad </w:t>
      </w:r>
      <w:r w:rsidR="00093A27">
        <w:rPr>
          <w:bCs/>
        </w:rPr>
        <w:t>u razdoblju od 1.1.-3</w:t>
      </w:r>
      <w:r w:rsidR="00563B93">
        <w:rPr>
          <w:bCs/>
        </w:rPr>
        <w:t>1.12.</w:t>
      </w:r>
      <w:r w:rsidR="00093A27">
        <w:rPr>
          <w:bCs/>
        </w:rPr>
        <w:t>. utrošena su prema planiranim vrijednostima usvojenim financijskim planom za 2025. godinu.</w:t>
      </w:r>
    </w:p>
    <w:p w14:paraId="02E8A72F" w14:textId="77777777" w:rsidR="00BF636F" w:rsidRPr="006C35D7" w:rsidRDefault="00BF636F" w:rsidP="00BF636F">
      <w:pPr>
        <w:rPr>
          <w:bCs/>
        </w:rPr>
      </w:pPr>
    </w:p>
    <w:p w14:paraId="32626B59" w14:textId="43139B36" w:rsidR="00BF636F" w:rsidRPr="005972AC" w:rsidRDefault="00BF636F" w:rsidP="00BF636F">
      <w:r w:rsidRPr="005972AC">
        <w:t xml:space="preserve">Naknade troškova zaposlenima: </w:t>
      </w:r>
      <w:r w:rsidR="004F0B96">
        <w:t>=</w:t>
      </w:r>
      <w:r w:rsidR="00563B93">
        <w:t>33.183,57</w:t>
      </w:r>
      <w:r w:rsidRPr="005972AC">
        <w:t xml:space="preserve"> €</w:t>
      </w:r>
    </w:p>
    <w:p w14:paraId="64D389F5" w14:textId="578B8FAB" w:rsidR="00BF636F" w:rsidRDefault="00BF636F" w:rsidP="00BF636F">
      <w:r w:rsidRPr="005972AC">
        <w:t>Sredstva za službena putovanja (troškovi prijevoza, dnevnice, smještaj), prijevoz zaposlenika s posla i na posao, stručna usavršavanja -sredstva za realizaciju mobilnosti u sklopu Erasmus + projekta  (troškovi prijevoza u zemlji i inozemstvu, dnevnice u zemlji i inozemstvu, smještaj)  trošena su prema planiranim sredstvima</w:t>
      </w:r>
      <w:r w:rsidR="00E50250">
        <w:t xml:space="preserve"> za 2025. godinu.</w:t>
      </w:r>
    </w:p>
    <w:p w14:paraId="69A02C1D" w14:textId="77777777" w:rsidR="00E50250" w:rsidRPr="00DB099B" w:rsidRDefault="00E50250" w:rsidP="00BF636F">
      <w:pPr>
        <w:rPr>
          <w:color w:val="FF0000"/>
        </w:rPr>
      </w:pPr>
    </w:p>
    <w:p w14:paraId="22607085" w14:textId="623632BE" w:rsidR="00BF636F" w:rsidRPr="007355B0" w:rsidRDefault="00BF636F" w:rsidP="00BF636F">
      <w:r w:rsidRPr="007355B0">
        <w:t xml:space="preserve">Rashodi za materijal i energiju: </w:t>
      </w:r>
      <w:r w:rsidR="004F0B96">
        <w:t>=</w:t>
      </w:r>
      <w:r w:rsidR="00563B93">
        <w:t>12.819,64</w:t>
      </w:r>
      <w:r w:rsidRPr="007355B0">
        <w:t xml:space="preserve"> €</w:t>
      </w:r>
    </w:p>
    <w:p w14:paraId="68C96319" w14:textId="47EBC03B" w:rsidR="00BF636F" w:rsidRPr="007355B0" w:rsidRDefault="00BF636F" w:rsidP="00BF636F">
      <w:r w:rsidRPr="007355B0">
        <w:t xml:space="preserve">Sredstva za uredski materijal, stručnu literaturu, materijal za provođenje nastave (nabava materijala za </w:t>
      </w:r>
      <w:r w:rsidR="00EC5F93">
        <w:t xml:space="preserve"> redovnu </w:t>
      </w:r>
      <w:r w:rsidRPr="007355B0">
        <w:t xml:space="preserve">nastavu i </w:t>
      </w:r>
      <w:r w:rsidR="00EC5F93">
        <w:t>nastavu u sklopu</w:t>
      </w:r>
      <w:r w:rsidRPr="007355B0">
        <w:t xml:space="preserve"> centra izvrsnosti), nabava sitnog inventara (</w:t>
      </w:r>
      <w:r w:rsidR="00EC5F93">
        <w:t>pošt. sandučić, slušalice, natpisne ploče</w:t>
      </w:r>
      <w:r w:rsidR="00320F1D">
        <w:t>, zidni satovi, mobitel, vaga, tlakomjer i ostali sitni inventar za potrebe djelovanja centra izvrsnosti</w:t>
      </w:r>
      <w:r w:rsidRPr="007355B0">
        <w:t>), sredstva na ime namirnica ( shema voća, namirnice za prezentaciju projekta Erasmus+</w:t>
      </w:r>
      <w:r w:rsidR="00E50250">
        <w:t>,</w:t>
      </w:r>
      <w:r w:rsidRPr="007355B0">
        <w:t xml:space="preserve"> dana drugačije nastave</w:t>
      </w:r>
      <w:r w:rsidR="00E50250">
        <w:t>, organizacija domaćinstva u sklopu projekta Erasmus+</w:t>
      </w:r>
      <w:r w:rsidR="00320F1D">
        <w:t xml:space="preserve"> idr.</w:t>
      </w:r>
      <w:r w:rsidRPr="007355B0">
        <w:t>,)</w:t>
      </w:r>
      <w:r w:rsidR="007702C2">
        <w:t xml:space="preserve"> </w:t>
      </w:r>
      <w:r w:rsidRPr="007355B0">
        <w:t xml:space="preserve"> trošena su u skladu sa financijskim planom.</w:t>
      </w:r>
    </w:p>
    <w:p w14:paraId="10EBAC8C" w14:textId="77777777" w:rsidR="00BF636F" w:rsidRPr="007355B0" w:rsidRDefault="00BF636F" w:rsidP="00BF636F"/>
    <w:p w14:paraId="3C473101" w14:textId="544591D7" w:rsidR="00BF636F" w:rsidRPr="00DA3EEB" w:rsidRDefault="00BF636F" w:rsidP="00BF636F">
      <w:r w:rsidRPr="00DA3EEB">
        <w:t xml:space="preserve">Rashodi za usluge: </w:t>
      </w:r>
      <w:r w:rsidR="004F0B96">
        <w:t>=24.236,21</w:t>
      </w:r>
      <w:r w:rsidRPr="00DA3EEB">
        <w:t xml:space="preserve"> €</w:t>
      </w:r>
    </w:p>
    <w:p w14:paraId="122FCB68" w14:textId="74A7F2E0" w:rsidR="00BF636F" w:rsidRPr="00DA3EEB" w:rsidRDefault="00BF636F" w:rsidP="00BF636F">
      <w:r w:rsidRPr="00DA3EEB">
        <w:rPr>
          <w:bCs/>
        </w:rPr>
        <w:t>Sredstva rashoda  za usluge</w:t>
      </w:r>
      <w:r w:rsidRPr="00DA3EEB">
        <w:t xml:space="preserve"> troše se prema financijskom planu- rashodi za telefonske usluge, poštarinu,  rashodi za mjesečno održavanje sustava riznice, rashodi za najam printera, rashodi za prijevoz vezano uz mobilnosti u sklopu Erasmus + projekta, prijevoz na državna natjecanja,  rashodi ugovora o djelu (naknade za rad</w:t>
      </w:r>
      <w:r w:rsidR="007702C2">
        <w:t xml:space="preserve"> vanjskih suradnika u sklopu</w:t>
      </w:r>
      <w:r w:rsidRPr="00DA3EEB">
        <w:t xml:space="preserve"> cent</w:t>
      </w:r>
      <w:r w:rsidR="007702C2">
        <w:t>ra</w:t>
      </w:r>
      <w:r w:rsidRPr="00DA3EEB">
        <w:t xml:space="preserve"> izvrsnosti)</w:t>
      </w:r>
      <w:r w:rsidR="00DA3EEB" w:rsidRPr="00DA3EEB">
        <w:t>,</w:t>
      </w:r>
      <w:r w:rsidR="007702C2">
        <w:t xml:space="preserve"> rashodi tiskarskih usluga za potrebe projekta Putokaz</w:t>
      </w:r>
      <w:r w:rsidR="004F0B96">
        <w:t xml:space="preserve"> isl.</w:t>
      </w:r>
      <w:r w:rsidR="00DA3EEB" w:rsidRPr="00DA3EEB">
        <w:t>.</w:t>
      </w:r>
    </w:p>
    <w:p w14:paraId="4E9B18AA" w14:textId="77777777" w:rsidR="00BF636F" w:rsidRPr="00DB099B" w:rsidRDefault="00BF636F" w:rsidP="00BF636F">
      <w:pPr>
        <w:rPr>
          <w:color w:val="FF0000"/>
        </w:rPr>
      </w:pPr>
    </w:p>
    <w:p w14:paraId="2F0E2154" w14:textId="0BF8D7C0" w:rsidR="00BF636F" w:rsidRPr="00DA3EEB" w:rsidRDefault="00BF636F" w:rsidP="00BF636F">
      <w:r w:rsidRPr="00DA3EEB">
        <w:t xml:space="preserve"> Naknade troškova izvan radnog odnosa: </w:t>
      </w:r>
      <w:r w:rsidR="004F0B96">
        <w:t>=10.067,19</w:t>
      </w:r>
      <w:r w:rsidRPr="00DA3EEB">
        <w:t xml:space="preserve"> €</w:t>
      </w:r>
    </w:p>
    <w:p w14:paraId="4C2158C0" w14:textId="36E0EDDA" w:rsidR="00BF636F" w:rsidRPr="00DA3EEB" w:rsidRDefault="00BF636F" w:rsidP="00BF636F">
      <w:r w:rsidRPr="00DA3EEB">
        <w:t xml:space="preserve"> Realizacija sredstva za rashode  mobilnosti učenika u sklopu projekta Erasmus + u razdoblju 1.1.-</w:t>
      </w:r>
      <w:r w:rsidR="002868D8">
        <w:t>3</w:t>
      </w:r>
      <w:r w:rsidR="004F0B96">
        <w:t>1.12</w:t>
      </w:r>
      <w:r w:rsidR="002868D8">
        <w:t>.2025</w:t>
      </w:r>
      <w:r w:rsidR="00DA3EEB" w:rsidRPr="00DA3EEB">
        <w:t>.</w:t>
      </w:r>
      <w:r w:rsidR="002868D8">
        <w:t xml:space="preserve"> godine izvršavala su</w:t>
      </w:r>
      <w:r w:rsidRPr="00DA3EEB">
        <w:t xml:space="preserve"> se prema</w:t>
      </w:r>
      <w:r w:rsidR="002868D8">
        <w:t xml:space="preserve"> planiranim sredstvima u</w:t>
      </w:r>
      <w:r w:rsidRPr="00DA3EEB">
        <w:t xml:space="preserve"> financijskom planu.</w:t>
      </w:r>
    </w:p>
    <w:p w14:paraId="3656914C" w14:textId="77777777" w:rsidR="00BF636F" w:rsidRPr="00DB099B" w:rsidRDefault="00BF636F" w:rsidP="00BF636F">
      <w:pPr>
        <w:rPr>
          <w:color w:val="FF0000"/>
        </w:rPr>
      </w:pPr>
    </w:p>
    <w:p w14:paraId="3210D864" w14:textId="647990C7" w:rsidR="00BF636F" w:rsidRPr="00DA3EEB" w:rsidRDefault="00BF636F" w:rsidP="00BF636F">
      <w:r w:rsidRPr="00DA3EEB">
        <w:t>Ostali nespomenuti rashodi:</w:t>
      </w:r>
      <w:r w:rsidR="00DA3EEB">
        <w:t xml:space="preserve"> </w:t>
      </w:r>
      <w:r w:rsidR="004F0B96">
        <w:t>=5.787,11</w:t>
      </w:r>
      <w:r w:rsidRPr="00DA3EEB">
        <w:t xml:space="preserve"> €</w:t>
      </w:r>
    </w:p>
    <w:p w14:paraId="4B4A4E9E" w14:textId="4F674691" w:rsidR="00BF636F" w:rsidRDefault="00BF636F" w:rsidP="00BF636F">
      <w:r w:rsidRPr="00DA3EEB">
        <w:t>Sredstva za premije osiguranja imovine, reprezentaciju ( prezentacija projekta Erasmus+</w:t>
      </w:r>
      <w:r w:rsidR="00984AD3">
        <w:t>, organizacija domaćinstava u sklopu projekta Erasmus +</w:t>
      </w:r>
      <w:r w:rsidRPr="00DA3EEB">
        <w:t>), sredstva za rashode naknade za nezapošljavanje osoba s invaliditetom,  sredstva za ostale nespomenute rashode (putno osiguranje sudionika mobilnosti u sklopu projekta Erasmus+</w:t>
      </w:r>
      <w:r w:rsidR="00984AD3">
        <w:t>,</w:t>
      </w:r>
      <w:r w:rsidR="00910735">
        <w:t xml:space="preserve"> ulaznice</w:t>
      </w:r>
      <w:r w:rsidRPr="00DA3EEB">
        <w:t>) trošila su se prema financijskom planu.</w:t>
      </w:r>
    </w:p>
    <w:p w14:paraId="6F3C078A" w14:textId="77777777" w:rsidR="00DA3EEB" w:rsidRDefault="00DA3EEB" w:rsidP="00BF636F"/>
    <w:p w14:paraId="0D9D26FC" w14:textId="26B40CB1" w:rsidR="00BF636F" w:rsidRPr="00DA3EEB" w:rsidRDefault="00BF636F" w:rsidP="00BF636F">
      <w:r w:rsidRPr="00DA3EEB">
        <w:t xml:space="preserve">Prijenosi između proračunskih korisnika istog proračuna: </w:t>
      </w:r>
      <w:r w:rsidR="004F0B96">
        <w:t>=</w:t>
      </w:r>
      <w:r w:rsidR="001D27EA">
        <w:t>70,25</w:t>
      </w:r>
      <w:r w:rsidRPr="00DA3EEB">
        <w:t xml:space="preserve"> €</w:t>
      </w:r>
    </w:p>
    <w:p w14:paraId="60ED3BBB" w14:textId="39D6A829" w:rsidR="00BF636F" w:rsidRPr="00DA3EEB" w:rsidRDefault="00BF636F" w:rsidP="00BF636F">
      <w:r w:rsidRPr="00DA3EEB">
        <w:t>Sredstva  utrošena za podmirenje troškova međuopćinskog Lidrana .</w:t>
      </w:r>
    </w:p>
    <w:p w14:paraId="081958E4" w14:textId="77777777" w:rsidR="00BF636F" w:rsidRPr="00DA3EEB" w:rsidRDefault="00BF636F" w:rsidP="00BF636F"/>
    <w:p w14:paraId="4F73E224" w14:textId="6457B971" w:rsidR="00BF636F" w:rsidRPr="00DA3EEB" w:rsidRDefault="00BF636F" w:rsidP="00BF636F">
      <w:r w:rsidRPr="00DA3EEB">
        <w:t xml:space="preserve">Ostali rashodi: </w:t>
      </w:r>
      <w:r w:rsidR="004F0B96">
        <w:t>=</w:t>
      </w:r>
      <w:r w:rsidR="001D27EA">
        <w:t>375,42</w:t>
      </w:r>
      <w:r w:rsidRPr="00DA3EEB">
        <w:t xml:space="preserve"> €</w:t>
      </w:r>
    </w:p>
    <w:p w14:paraId="2BB76B93" w14:textId="090B98CD" w:rsidR="00BF636F" w:rsidRPr="00DA3EEB" w:rsidRDefault="00BF636F" w:rsidP="00BF636F">
      <w:r w:rsidRPr="00DA3EEB">
        <w:t>Rashodi se odnose na nabavu higijenskih potrepština za učenice škola</w:t>
      </w:r>
      <w:r w:rsidR="00DA3EEB">
        <w:t xml:space="preserve"> i utrošeni su prema financijskom planu.</w:t>
      </w:r>
    </w:p>
    <w:p w14:paraId="36A6C0D7" w14:textId="77777777" w:rsidR="00BF636F" w:rsidRPr="00DB099B" w:rsidRDefault="00BF636F" w:rsidP="00BF636F">
      <w:pPr>
        <w:rPr>
          <w:color w:val="FF0000"/>
        </w:rPr>
      </w:pPr>
    </w:p>
    <w:p w14:paraId="679A845B" w14:textId="14720769" w:rsidR="006652C9" w:rsidRPr="000B2C5F" w:rsidRDefault="00BF636F" w:rsidP="00BF636F">
      <w:r w:rsidRPr="000B2C5F">
        <w:t xml:space="preserve">Rashodi za nabavu nefinancijske imovine: </w:t>
      </w:r>
      <w:r w:rsidR="004F0B96">
        <w:t>=19.684,13</w:t>
      </w:r>
      <w:r w:rsidRPr="000B2C5F">
        <w:t xml:space="preserve"> </w:t>
      </w:r>
      <w:r w:rsidR="006652C9" w:rsidRPr="000B2C5F">
        <w:t>€</w:t>
      </w:r>
    </w:p>
    <w:p w14:paraId="52FC68AC" w14:textId="7E5029E0" w:rsidR="0025375A" w:rsidRPr="00EE1C7F" w:rsidRDefault="0025375A" w:rsidP="0025375A">
      <w:r>
        <w:t>Nabava računala, prijenosnog računala, tv prijamnika, knjiga za školsku knjižnicu odnosno opreme za redovno provođenje nastave, te nabave laboratorijske opreme, instrumenata i uređaja za provođenje nastave kemije i biologije u sklopu centra izvrsnosti provodila se prema financijskom planu škole.</w:t>
      </w:r>
    </w:p>
    <w:p w14:paraId="231BEE6F" w14:textId="77777777" w:rsidR="00BF636F" w:rsidRDefault="00BF636F" w:rsidP="00BF636F"/>
    <w:p w14:paraId="2340C056" w14:textId="77777777" w:rsidR="00884978" w:rsidRDefault="00884978" w:rsidP="00BF636F"/>
    <w:p w14:paraId="7E8D5D23" w14:textId="77777777" w:rsidR="00884978" w:rsidRDefault="00884978" w:rsidP="00BF636F"/>
    <w:p w14:paraId="435837F2" w14:textId="77777777" w:rsidR="00884978" w:rsidRDefault="00884978" w:rsidP="00BF636F"/>
    <w:p w14:paraId="4D1CB917" w14:textId="77777777" w:rsidR="00884978" w:rsidRDefault="00884978" w:rsidP="00BF636F"/>
    <w:p w14:paraId="2438F804" w14:textId="77777777" w:rsidR="00884978" w:rsidRPr="00DB099B" w:rsidRDefault="00884978" w:rsidP="00BF636F">
      <w:pPr>
        <w:rPr>
          <w:color w:val="FF0000"/>
        </w:rPr>
      </w:pPr>
    </w:p>
    <w:p w14:paraId="0196EE45" w14:textId="77777777" w:rsidR="00BF636F" w:rsidRPr="00DB099B" w:rsidRDefault="00BF636F" w:rsidP="00BF636F">
      <w:pPr>
        <w:rPr>
          <w:color w:val="FF0000"/>
        </w:rPr>
      </w:pPr>
    </w:p>
    <w:p w14:paraId="1B4C65F3" w14:textId="77777777" w:rsidR="00BF636F" w:rsidRPr="00DB099B" w:rsidRDefault="00BF636F" w:rsidP="00BF636F">
      <w:pPr>
        <w:widowControl/>
        <w:rPr>
          <w:color w:val="FF0000"/>
        </w:rPr>
      </w:pPr>
    </w:p>
    <w:p w14:paraId="5CEFE4F8" w14:textId="79D6B70C" w:rsidR="00BF636F" w:rsidRPr="00783089" w:rsidRDefault="00BF636F" w:rsidP="00BF636F">
      <w:r w:rsidRPr="00783089">
        <w:t>Rezultat poslovanja  za razdoblje 1.1.-</w:t>
      </w:r>
      <w:r w:rsidR="00F9443B" w:rsidRPr="00783089">
        <w:t>3</w:t>
      </w:r>
      <w:r w:rsidR="00F9531C">
        <w:t>1.12</w:t>
      </w:r>
      <w:r w:rsidR="008C1EBE">
        <w:t>.2025</w:t>
      </w:r>
      <w:r w:rsidRPr="00783089">
        <w:t>.</w:t>
      </w:r>
    </w:p>
    <w:p w14:paraId="7A2FDD70" w14:textId="77777777" w:rsidR="00BF636F" w:rsidRPr="00783089" w:rsidRDefault="00BF636F" w:rsidP="00BF636F"/>
    <w:p w14:paraId="194F0408" w14:textId="4802AC77" w:rsidR="00BF636F" w:rsidRPr="00783089" w:rsidRDefault="00BF636F" w:rsidP="00BF636F">
      <w:r w:rsidRPr="00783089">
        <w:t>U razdoblju od 1.1.-</w:t>
      </w:r>
      <w:r w:rsidR="00F9443B" w:rsidRPr="00783089">
        <w:t>3</w:t>
      </w:r>
      <w:r w:rsidR="00F9531C">
        <w:t>1.12</w:t>
      </w:r>
      <w:r w:rsidR="008C1EBE">
        <w:t>.2025</w:t>
      </w:r>
      <w:r w:rsidRPr="00783089">
        <w:t>. ostvareni su prihodi u iznosu od =</w:t>
      </w:r>
      <w:r w:rsidR="009D2257">
        <w:t>875.018,60</w:t>
      </w:r>
      <w:r w:rsidRPr="00783089">
        <w:t xml:space="preserve"> €</w:t>
      </w:r>
    </w:p>
    <w:p w14:paraId="0C0500C2" w14:textId="38D21EDA" w:rsidR="00783089" w:rsidRPr="00783089" w:rsidRDefault="00B51AF8" w:rsidP="00BF636F">
      <w:r>
        <w:t>Ras</w:t>
      </w:r>
      <w:r w:rsidR="00BF636F" w:rsidRPr="00783089">
        <w:t>hodi ostvareni  u navedenom razdoblju sastoje se od rashoda poslovanja u iznosu od =</w:t>
      </w:r>
      <w:r w:rsidR="009D2257">
        <w:t>941.419,30</w:t>
      </w:r>
      <w:r w:rsidR="004D0A8C" w:rsidRPr="00783089">
        <w:t xml:space="preserve"> </w:t>
      </w:r>
      <w:r w:rsidR="00BF636F" w:rsidRPr="00783089">
        <w:t>€ i rashoda za nabavu nefinancijske imovine u iznosu  od  =</w:t>
      </w:r>
      <w:r w:rsidR="009D2257">
        <w:t>19.684,13</w:t>
      </w:r>
      <w:r w:rsidR="00BF636F" w:rsidRPr="00783089">
        <w:t xml:space="preserve"> € </w:t>
      </w:r>
      <w:r>
        <w:t>i iznose =</w:t>
      </w:r>
      <w:r w:rsidR="009D2257">
        <w:t>961.103,43</w:t>
      </w:r>
      <w:r>
        <w:t xml:space="preserve"> €</w:t>
      </w:r>
    </w:p>
    <w:p w14:paraId="43D1CB11" w14:textId="77777777" w:rsidR="001C7B24" w:rsidRDefault="00783089" w:rsidP="00783089">
      <w:r w:rsidRPr="00783089">
        <w:t>U razdoblju 1.1.-</w:t>
      </w:r>
      <w:r w:rsidR="009D2257">
        <w:t>31.12</w:t>
      </w:r>
      <w:r w:rsidR="008C1EBE">
        <w:t>.2025.</w:t>
      </w:r>
      <w:r w:rsidRPr="00783089">
        <w:t xml:space="preserve"> godin</w:t>
      </w:r>
      <w:r w:rsidR="008C1EBE">
        <w:t>e</w:t>
      </w:r>
      <w:r w:rsidRPr="00783089">
        <w:t xml:space="preserve"> ostvaren je </w:t>
      </w:r>
      <w:r w:rsidR="008C1EBE">
        <w:t>manjak</w:t>
      </w:r>
      <w:r w:rsidRPr="00783089">
        <w:t xml:space="preserve"> prihoda  poslovanja  u iznosu od =</w:t>
      </w:r>
      <w:r w:rsidR="001C7B24">
        <w:t>86.084,83</w:t>
      </w:r>
      <w:r w:rsidRPr="00783089">
        <w:t xml:space="preserve"> € </w:t>
      </w:r>
    </w:p>
    <w:p w14:paraId="36FACA4D" w14:textId="4B2B0014" w:rsidR="00783089" w:rsidRPr="009630F7" w:rsidRDefault="001C7B24" w:rsidP="00783089">
      <w:r>
        <w:t>kada se u obzir uzme i preneseni višak iz prethodne godine ukupni manjak za 2025. godini iznosi =63.530,96 € -</w:t>
      </w:r>
      <w:r w:rsidR="00783089">
        <w:t>utrošena sredstva prenesenog viška iz 202</w:t>
      </w:r>
      <w:r w:rsidR="00925959">
        <w:t>4</w:t>
      </w:r>
      <w:r w:rsidR="00783089">
        <w:t>. godine i neutrošena sredstva iz 202</w:t>
      </w:r>
      <w:r w:rsidR="00925959">
        <w:t>5</w:t>
      </w:r>
      <w:r w:rsidR="00783089">
        <w:t>. godine</w:t>
      </w:r>
      <w:r w:rsidR="008308E2">
        <w:t xml:space="preserve">, manjak prihoda za rashode nastale krajem obračunskog razdoblja (plaće zaposlenika, rashodi </w:t>
      </w:r>
      <w:r w:rsidR="009D2257">
        <w:t xml:space="preserve">nastali krajem kalendarske godine </w:t>
      </w:r>
      <w:r w:rsidR="008308E2">
        <w:t xml:space="preserve"> za koje se prihodi evidentiraju sa danom podmirenje obaveze</w:t>
      </w:r>
      <w:r w:rsidR="009D2257">
        <w:t xml:space="preserve"> (putni nalozi-NC</w:t>
      </w:r>
      <w:r w:rsidR="008308E2">
        <w:t xml:space="preserve"> odnosn</w:t>
      </w:r>
      <w:r w:rsidR="009D2257">
        <w:t>o tokom prvog mjeseca 2026. godine a planiraju se rebalansom-metodološki manjak</w:t>
      </w:r>
      <w:r w:rsidR="0026755A">
        <w:t>.</w:t>
      </w:r>
      <w:r w:rsidR="009D2257">
        <w:t xml:space="preserve"> Na</w:t>
      </w:r>
      <w:r w:rsidR="009C2A71">
        <w:t xml:space="preserve"> ostvareni</w:t>
      </w:r>
      <w:r w:rsidR="009D2257">
        <w:t xml:space="preserve"> manjak prihoda u 2025. godini</w:t>
      </w:r>
      <w:r w:rsidR="009C2A71">
        <w:t xml:space="preserve"> utjecala je promjena u načinu evidentiranja rashoda za zaposlene (plaća za 12/2025 evidentirana je u 2025. godini-prihod u 2026. godine, kao i promjena u načinu evidentiranja uplaćenih sredstava za provođenja projekta Erasmus+, sredstva se evidentiraju kao prihod po završnom izvješću o realizaciji projekta)</w:t>
      </w:r>
    </w:p>
    <w:p w14:paraId="075A6194" w14:textId="591B6BD7" w:rsidR="00BF636F" w:rsidRPr="00DB099B" w:rsidRDefault="00BF636F" w:rsidP="00BF636F">
      <w:pPr>
        <w:rPr>
          <w:color w:val="FF0000"/>
        </w:rPr>
      </w:pPr>
      <w:r w:rsidRPr="00DB099B">
        <w:rPr>
          <w:color w:val="FF0000"/>
        </w:rPr>
        <w:t xml:space="preserve">               </w:t>
      </w:r>
    </w:p>
    <w:p w14:paraId="64F1A2FA" w14:textId="77777777" w:rsidR="00BF636F" w:rsidRPr="00DB099B" w:rsidRDefault="00BF636F" w:rsidP="00BF636F">
      <w:pPr>
        <w:rPr>
          <w:bCs/>
          <w:color w:val="FF0000"/>
        </w:rPr>
      </w:pPr>
    </w:p>
    <w:p w14:paraId="25064A22" w14:textId="714007E2" w:rsidR="00BF636F" w:rsidRPr="000939A7" w:rsidRDefault="00BF636F" w:rsidP="00BF636F">
      <w:pPr>
        <w:rPr>
          <w:bCs/>
        </w:rPr>
      </w:pPr>
      <w:r w:rsidRPr="000939A7">
        <w:rPr>
          <w:bCs/>
        </w:rPr>
        <w:t>Preneseni višak ili preneseni manja</w:t>
      </w:r>
      <w:r w:rsidR="00DC7F29" w:rsidRPr="000939A7">
        <w:rPr>
          <w:bCs/>
        </w:rPr>
        <w:t xml:space="preserve">k </w:t>
      </w:r>
      <w:r w:rsidRPr="000939A7">
        <w:rPr>
          <w:bCs/>
        </w:rPr>
        <w:t>u razdoblju od 1.1.-3</w:t>
      </w:r>
      <w:r w:rsidR="00117B20" w:rsidRPr="000939A7">
        <w:rPr>
          <w:bCs/>
        </w:rPr>
        <w:t>1</w:t>
      </w:r>
      <w:r w:rsidR="00DC7F29" w:rsidRPr="000939A7">
        <w:rPr>
          <w:bCs/>
        </w:rPr>
        <w:t>.</w:t>
      </w:r>
      <w:r w:rsidR="00117B20" w:rsidRPr="000939A7">
        <w:rPr>
          <w:bCs/>
        </w:rPr>
        <w:t>12</w:t>
      </w:r>
      <w:r w:rsidRPr="000939A7">
        <w:rPr>
          <w:bCs/>
        </w:rPr>
        <w:t>.202</w:t>
      </w:r>
      <w:r w:rsidR="00DC7F29" w:rsidRPr="000939A7">
        <w:rPr>
          <w:bCs/>
        </w:rPr>
        <w:t>5</w:t>
      </w:r>
      <w:r w:rsidRPr="000939A7">
        <w:rPr>
          <w:bCs/>
        </w:rPr>
        <w:t>. godine</w:t>
      </w:r>
    </w:p>
    <w:p w14:paraId="7D56B0BF" w14:textId="77777777" w:rsidR="00BF636F" w:rsidRPr="000939A7" w:rsidRDefault="00BF636F" w:rsidP="00BF636F">
      <w:pPr>
        <w:rPr>
          <w:bCs/>
        </w:rPr>
      </w:pPr>
    </w:p>
    <w:p w14:paraId="01C78AA6" w14:textId="1834B204" w:rsidR="00BF636F" w:rsidRPr="000939A7" w:rsidRDefault="00BF636F" w:rsidP="00BF636F">
      <w:pPr>
        <w:rPr>
          <w:bCs/>
        </w:rPr>
      </w:pPr>
      <w:r w:rsidRPr="000939A7">
        <w:rPr>
          <w:bCs/>
        </w:rPr>
        <w:t>U financijskom planu škole</w:t>
      </w:r>
      <w:r w:rsidR="0026755A" w:rsidRPr="000939A7">
        <w:rPr>
          <w:bCs/>
        </w:rPr>
        <w:t xml:space="preserve"> za 2025, godinu</w:t>
      </w:r>
      <w:r w:rsidRPr="000939A7">
        <w:rPr>
          <w:bCs/>
        </w:rPr>
        <w:t xml:space="preserve"> pl</w:t>
      </w:r>
      <w:r w:rsidR="0026755A" w:rsidRPr="000939A7">
        <w:rPr>
          <w:bCs/>
        </w:rPr>
        <w:t>aniran je</w:t>
      </w:r>
      <w:r w:rsidRPr="000939A7">
        <w:rPr>
          <w:bCs/>
        </w:rPr>
        <w:t xml:space="preserve"> prenese</w:t>
      </w:r>
      <w:r w:rsidR="0026755A" w:rsidRPr="000939A7">
        <w:rPr>
          <w:bCs/>
        </w:rPr>
        <w:t>ni</w:t>
      </w:r>
      <w:r w:rsidRPr="000939A7">
        <w:rPr>
          <w:bCs/>
        </w:rPr>
        <w:t xml:space="preserve"> viš</w:t>
      </w:r>
      <w:r w:rsidR="00747F71" w:rsidRPr="000939A7">
        <w:rPr>
          <w:bCs/>
        </w:rPr>
        <w:t>ak</w:t>
      </w:r>
      <w:r w:rsidR="0026755A" w:rsidRPr="000939A7">
        <w:rPr>
          <w:bCs/>
        </w:rPr>
        <w:t xml:space="preserve"> iz 2024. godine</w:t>
      </w:r>
      <w:r w:rsidRPr="000939A7">
        <w:rPr>
          <w:bCs/>
        </w:rPr>
        <w:t xml:space="preserve"> </w:t>
      </w:r>
      <w:r w:rsidR="0026755A" w:rsidRPr="000939A7">
        <w:rPr>
          <w:bCs/>
        </w:rPr>
        <w:t xml:space="preserve"> u iznosu od =46.900,00</w:t>
      </w:r>
      <w:r w:rsidRPr="000939A7">
        <w:rPr>
          <w:bCs/>
        </w:rPr>
        <w:t xml:space="preserve"> (sredstva Erasmus+ projekta</w:t>
      </w:r>
      <w:r w:rsidR="0026755A" w:rsidRPr="000939A7">
        <w:rPr>
          <w:bCs/>
        </w:rPr>
        <w:t>) preostali iznos prenesenog viška prihoda u iznosu od =</w:t>
      </w:r>
      <w:r w:rsidR="00117B20" w:rsidRPr="000939A7">
        <w:rPr>
          <w:bCs/>
        </w:rPr>
        <w:t>5.158,34</w:t>
      </w:r>
      <w:r w:rsidR="0026755A" w:rsidRPr="000939A7">
        <w:rPr>
          <w:bCs/>
        </w:rPr>
        <w:t xml:space="preserve"> € planira</w:t>
      </w:r>
      <w:r w:rsidR="00117B20" w:rsidRPr="000939A7">
        <w:rPr>
          <w:bCs/>
        </w:rPr>
        <w:t>n je</w:t>
      </w:r>
      <w:r w:rsidR="0026755A" w:rsidRPr="000939A7">
        <w:rPr>
          <w:bCs/>
        </w:rPr>
        <w:t xml:space="preserve"> izmjenama financijskog plana za 2025. godinu prema odluci školskog odbora</w:t>
      </w:r>
      <w:r w:rsidRPr="000939A7">
        <w:rPr>
          <w:bCs/>
        </w:rPr>
        <w:t xml:space="preserve"> , kao i metodološki manjak prihoda ( rashodi nastali u dvanaestom mjesecu 202</w:t>
      </w:r>
      <w:r w:rsidR="0026755A" w:rsidRPr="000939A7">
        <w:rPr>
          <w:bCs/>
        </w:rPr>
        <w:t>4</w:t>
      </w:r>
      <w:r w:rsidRPr="000939A7">
        <w:rPr>
          <w:bCs/>
        </w:rPr>
        <w:t>. godine sa valutom plaćanja u 202</w:t>
      </w:r>
      <w:r w:rsidR="0026755A" w:rsidRPr="000939A7">
        <w:rPr>
          <w:bCs/>
        </w:rPr>
        <w:t>5</w:t>
      </w:r>
      <w:r w:rsidRPr="000939A7">
        <w:rPr>
          <w:bCs/>
        </w:rPr>
        <w:t xml:space="preserve">. godini) u iznosu od </w:t>
      </w:r>
      <w:r w:rsidR="00747F71" w:rsidRPr="000939A7">
        <w:rPr>
          <w:bCs/>
        </w:rPr>
        <w:t>=560,93</w:t>
      </w:r>
      <w:r w:rsidR="000418C3" w:rsidRPr="000939A7">
        <w:rPr>
          <w:bCs/>
        </w:rPr>
        <w:t xml:space="preserve"> €</w:t>
      </w:r>
      <w:r w:rsidR="00747F71" w:rsidRPr="000939A7">
        <w:rPr>
          <w:bCs/>
        </w:rPr>
        <w:t>.</w:t>
      </w:r>
      <w:r w:rsidR="000418C3" w:rsidRPr="000939A7">
        <w:rPr>
          <w:bCs/>
        </w:rPr>
        <w:t xml:space="preserve"> </w:t>
      </w:r>
      <w:r w:rsidR="00117B20" w:rsidRPr="000939A7">
        <w:rPr>
          <w:bCs/>
        </w:rPr>
        <w:t>Tokom godine došlo je do izmjene rezultata poslovanja za 2024. godinu zbog povrata sredstava iz proteklih razdoblja a vezanih uz projekt Erasmus+ odnosno iznos prenesenog viška uvećan je za =435,00 €.</w:t>
      </w:r>
      <w:r w:rsidR="000F5F5F" w:rsidRPr="000939A7">
        <w:rPr>
          <w:bCs/>
        </w:rPr>
        <w:t xml:space="preserve"> Za potrebe izrade financijskih izvještaja za 2025. godinu( promjena u načinu evidentiranja prihoda za provođenje Erasmus projekt) a prema Okružnici Ministarstva financij</w:t>
      </w:r>
      <w:r w:rsidR="00D00E2B" w:rsidRPr="000939A7">
        <w:rPr>
          <w:bCs/>
        </w:rPr>
        <w:t>a</w:t>
      </w:r>
      <w:r w:rsidR="000F5F5F" w:rsidRPr="000939A7">
        <w:rPr>
          <w:bCs/>
        </w:rPr>
        <w:t xml:space="preserve"> proveden je ispravak prenesenog viška poslovanja za 2024. godinu </w:t>
      </w:r>
      <w:r w:rsidR="00D00E2B" w:rsidRPr="000939A7">
        <w:rPr>
          <w:bCs/>
        </w:rPr>
        <w:t>u iznosu od =29.378,54 €. (=15,470,67 u 2025. godini evidentirano kao rashod nakon završnog izvješća, =13.907,87 € evidentirano na predujmu do završnog izvješća), navedenim ispravkom umanjen je iznos prenesenog viška za 2024. godinu.</w:t>
      </w:r>
      <w:r w:rsidR="000939A7">
        <w:rPr>
          <w:bCs/>
        </w:rPr>
        <w:t xml:space="preserve"> Za 2025. godinu ostvaren je manjak prihoda</w:t>
      </w:r>
      <w:r w:rsidR="00706CE5">
        <w:rPr>
          <w:bCs/>
        </w:rPr>
        <w:t xml:space="preserve"> u iznosu od =63.530,96 €</w:t>
      </w:r>
      <w:r w:rsidR="000939A7">
        <w:rPr>
          <w:bCs/>
        </w:rPr>
        <w:t xml:space="preserve"> zbog evidentiranja rashoda za plaće zaposlenika za 12/2025 dok će se prihod evidentirati u 2026. godini, manjak prihoda za rashode Erasmus projekta (prihod će se evidentirati nakon završetka projekta i odobrenom završnom izvješću), kao i metodološki manjak za rashode za redovno poslovanje nastale krajem dvanaestog mjeseca 2025. godine sa valutom plaćanja u 2026. godini.</w:t>
      </w:r>
    </w:p>
    <w:p w14:paraId="5F1EAE23" w14:textId="77777777" w:rsidR="00BF636F" w:rsidRPr="009C2A71" w:rsidRDefault="00BF636F" w:rsidP="00BF636F">
      <w:pPr>
        <w:rPr>
          <w:color w:val="FF0000"/>
        </w:rPr>
      </w:pPr>
    </w:p>
    <w:p w14:paraId="16AD8C20" w14:textId="77777777" w:rsidR="00BF636F" w:rsidRPr="009C2A71" w:rsidRDefault="00BF636F" w:rsidP="00BF636F">
      <w:pPr>
        <w:rPr>
          <w:color w:val="FF0000"/>
        </w:rPr>
      </w:pPr>
    </w:p>
    <w:p w14:paraId="1AE55BC7" w14:textId="77777777" w:rsidR="00BF636F" w:rsidRPr="009C2A71" w:rsidRDefault="00BF636F" w:rsidP="00BF636F">
      <w:pPr>
        <w:rPr>
          <w:color w:val="FF0000"/>
        </w:rPr>
      </w:pPr>
    </w:p>
    <w:p w14:paraId="698807A7" w14:textId="77777777" w:rsidR="00025202" w:rsidRPr="00885306" w:rsidRDefault="00025202" w:rsidP="00025202">
      <w:pPr>
        <w:widowControl/>
        <w:numPr>
          <w:ilvl w:val="0"/>
          <w:numId w:val="5"/>
        </w:numPr>
        <w:suppressAutoHyphens w:val="0"/>
        <w:spacing w:after="160" w:line="259" w:lineRule="auto"/>
        <w:rPr>
          <w:b/>
          <w:bCs/>
        </w:rPr>
      </w:pPr>
      <w:r w:rsidRPr="00885306">
        <w:rPr>
          <w:b/>
          <w:bCs/>
        </w:rPr>
        <w:t xml:space="preserve">Posebni dio </w:t>
      </w:r>
    </w:p>
    <w:p w14:paraId="229A72ED" w14:textId="77777777" w:rsidR="00025202" w:rsidRPr="00885306" w:rsidRDefault="00025202" w:rsidP="00025202">
      <w:pPr>
        <w:rPr>
          <w:b/>
          <w:bCs/>
        </w:rPr>
      </w:pPr>
    </w:p>
    <w:p w14:paraId="0E8B2341" w14:textId="77777777" w:rsidR="00E37B1B" w:rsidRPr="00885306" w:rsidRDefault="00E37B1B" w:rsidP="00E37B1B">
      <w:r w:rsidRPr="00885306">
        <w:t>Iz posebnog dijela izvještaja vidljivo je da se poslovanje škole provodi kroz tri programa,  Redovni program srednjeg školstva - obuhvaća rashode za redovno poslovanje škole (rashodi za zaposlene, materijalni rashodi, rashodi za usluge, rashodi za nabavu nefinancijske imovine i sl.)</w:t>
      </w:r>
    </w:p>
    <w:p w14:paraId="0AD42253" w14:textId="77777777" w:rsidR="00E37B1B" w:rsidRPr="00885306" w:rsidRDefault="00E37B1B" w:rsidP="00E37B1B">
      <w:r w:rsidRPr="00885306">
        <w:t>Dodatni program srednjeg školstva obuhvaća rashode za provođenje projekta Erasmus+.</w:t>
      </w:r>
    </w:p>
    <w:p w14:paraId="07358CFE" w14:textId="77777777" w:rsidR="00E37B1B" w:rsidRPr="00885306" w:rsidRDefault="00E37B1B" w:rsidP="00E37B1B">
      <w:r w:rsidRPr="00885306">
        <w:t>Program upravnog odjela obuhvaća rashode županijskih natjecanja rashode sheme voća.</w:t>
      </w:r>
    </w:p>
    <w:p w14:paraId="002DB151" w14:textId="3A4A7A88" w:rsidR="00E37B1B" w:rsidRPr="00885306" w:rsidRDefault="00E37B1B" w:rsidP="00E37B1B">
      <w:r w:rsidRPr="00885306">
        <w:t>Programi se podmiruju prihodima osnivača za rashode redovnog poslovanja i nabavu nefinancijske imovine, prihodima od sponzorstva koje služi poboljšanje nastave biologije i kemije i za financiranje projekta „Održivi razvoj“ u kojem  se četrdesetak učenika škole bavi proučavanjem bioraznolikosti Podravine, izradom ekoloških proizvoda, eko fotografija,  organiziranjem raznih radionica vezanih uz održivi razvoj i sl., prihodima osnivača za rashode županijskih natjecanja -učenici sudjelovali na 20 Županijskih natjecanja i smotri, prihodima MZO za plaće i naknade zaposlenika, pomoći za rashode državnih natjecanja – škola se plasirala na 2 državnih natjecanja i smotr</w:t>
      </w:r>
      <w:r w:rsidR="00A832FA" w:rsidRPr="00885306">
        <w:t>e</w:t>
      </w:r>
      <w:r w:rsidRPr="00885306">
        <w:t xml:space="preserve"> u kojima je sudjelovalo dvoje učenika. Svi nastupi su ispod nagrađivanog 3. mjesta ili nisu rangirana jer </w:t>
      </w:r>
      <w:r w:rsidR="000B1558" w:rsidRPr="00885306">
        <w:t>se radio</w:t>
      </w:r>
      <w:r w:rsidRPr="00885306">
        <w:t xml:space="preserve"> smotrama, </w:t>
      </w:r>
    </w:p>
    <w:p w14:paraId="107512E1" w14:textId="2BE6AC30" w:rsidR="00E37B1B" w:rsidRPr="00885306" w:rsidRDefault="00E37B1B" w:rsidP="00E37B1B">
      <w:r w:rsidRPr="00885306">
        <w:t xml:space="preserve">voditelje županijskih aktiva- škola ima četiri voditelja ŽSV-a.,  stručna osposobljavanja zaposlenika te </w:t>
      </w:r>
      <w:r w:rsidRPr="00885306">
        <w:lastRenderedPageBreak/>
        <w:t xml:space="preserve">prihodi od donacija koji služe za nabavu knjiga za školsku knjižnicu, rashode dnevnica na stručnim ekskurzijama i maturalnom putovanju kao i rashode kojima se nastoji poboljšati učenički standard, djelovanje učeničke zadruga Zajik. </w:t>
      </w:r>
    </w:p>
    <w:p w14:paraId="76620B17" w14:textId="77777777" w:rsidR="00E37B1B" w:rsidRPr="009C2A71" w:rsidRDefault="00E37B1B" w:rsidP="00E37B1B">
      <w:pPr>
        <w:rPr>
          <w:color w:val="FF0000"/>
        </w:rPr>
      </w:pPr>
    </w:p>
    <w:p w14:paraId="612CD418" w14:textId="77777777" w:rsidR="00025202" w:rsidRPr="009C2A71" w:rsidRDefault="00025202" w:rsidP="00025202">
      <w:pPr>
        <w:rPr>
          <w:color w:val="FF0000"/>
        </w:rPr>
      </w:pPr>
    </w:p>
    <w:p w14:paraId="2CD80BA7" w14:textId="77777777" w:rsidR="000B1558" w:rsidRPr="009C2A71" w:rsidRDefault="000B1558" w:rsidP="00025202">
      <w:pPr>
        <w:rPr>
          <w:color w:val="FF0000"/>
        </w:rPr>
      </w:pPr>
    </w:p>
    <w:p w14:paraId="0FD1774F" w14:textId="77777777" w:rsidR="00025202" w:rsidRPr="00885306" w:rsidRDefault="00025202" w:rsidP="00025202">
      <w:r w:rsidRPr="00885306">
        <w:t>Program EU projekti  - Erasmus+ akreditacija (2022.-2027.)</w:t>
      </w:r>
    </w:p>
    <w:p w14:paraId="71DADC53" w14:textId="77777777" w:rsidR="00025202" w:rsidRPr="00885306" w:rsidRDefault="00025202" w:rsidP="00025202">
      <w:r w:rsidRPr="00885306">
        <w:t>Ciljevi:</w:t>
      </w:r>
    </w:p>
    <w:p w14:paraId="7443590E" w14:textId="77777777" w:rsidR="00025202" w:rsidRPr="00885306" w:rsidRDefault="00025202" w:rsidP="00025202">
      <w:pPr>
        <w:widowControl/>
        <w:numPr>
          <w:ilvl w:val="0"/>
          <w:numId w:val="2"/>
        </w:numPr>
        <w:suppressAutoHyphens w:val="0"/>
        <w:spacing w:after="160" w:line="259" w:lineRule="auto"/>
      </w:pPr>
      <w:r w:rsidRPr="00885306">
        <w:t>Prilagođavanje ponude dodatnih nastavnih i izvannastavnih sadržaja potrebama daljnjeg visokoškolskog obrazovanja i zahtjevima tržišta rada kako bi učenike privukli gimnazijskom programu</w:t>
      </w:r>
    </w:p>
    <w:p w14:paraId="56BC667F" w14:textId="77777777" w:rsidR="00025202" w:rsidRPr="00885306" w:rsidRDefault="00025202" w:rsidP="00025202">
      <w:pPr>
        <w:widowControl/>
        <w:numPr>
          <w:ilvl w:val="0"/>
          <w:numId w:val="2"/>
        </w:numPr>
        <w:suppressAutoHyphens w:val="0"/>
        <w:spacing w:after="160" w:line="259" w:lineRule="auto"/>
      </w:pPr>
      <w:r w:rsidRPr="00885306">
        <w:t>Jačanje kompetencija nastavnika i stručnih suradnika u području stranih jezika i inovativnih pristupa podučavanju s ciljem unaprjeđenja opće kvalitete odgojno-obrazovnog rada škole</w:t>
      </w:r>
    </w:p>
    <w:p w14:paraId="14B4EC15" w14:textId="77777777" w:rsidR="00025202" w:rsidRPr="00885306" w:rsidRDefault="00025202" w:rsidP="00025202">
      <w:r w:rsidRPr="00885306">
        <w:t>Aktivnosti:</w:t>
      </w:r>
    </w:p>
    <w:p w14:paraId="7BD1A237" w14:textId="77777777" w:rsidR="00025202" w:rsidRPr="00885306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885306">
        <w:t>job shadowing (promatranje nastave u drugoj školi)</w:t>
      </w:r>
    </w:p>
    <w:p w14:paraId="344907D9" w14:textId="77777777" w:rsidR="00025202" w:rsidRPr="00885306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885306">
        <w:t xml:space="preserve">-strukturirani tečajevi za nastavnike </w:t>
      </w:r>
    </w:p>
    <w:p w14:paraId="70BEF103" w14:textId="77777777" w:rsidR="00025202" w:rsidRPr="00885306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885306">
        <w:t xml:space="preserve">-kratkoročna mobilnost grupe učenika </w:t>
      </w:r>
    </w:p>
    <w:p w14:paraId="6830F07B" w14:textId="77777777" w:rsidR="00025202" w:rsidRPr="00885306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885306">
        <w:t>-kratkoročna mobilnost pojedinog učenika</w:t>
      </w:r>
    </w:p>
    <w:p w14:paraId="38868A35" w14:textId="77777777" w:rsidR="00025202" w:rsidRPr="00885306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885306">
        <w:t>-dugoročna mobilnost pojedinog učenika</w:t>
      </w:r>
    </w:p>
    <w:p w14:paraId="1C70DFD5" w14:textId="77777777" w:rsidR="00025202" w:rsidRPr="00885306" w:rsidRDefault="00025202" w:rsidP="00025202">
      <w:r w:rsidRPr="00885306">
        <w:t xml:space="preserve">Projektne aktivnosti provode se u ciklusima u trajanju od 15 mjeseci. Za svaki ciklus se u veljači radi prijedlog i plan aktivnosti te se dodjeljuju financijska sredstva. </w:t>
      </w:r>
    </w:p>
    <w:p w14:paraId="3147BA48" w14:textId="77777777" w:rsidR="00025202" w:rsidRPr="00885306" w:rsidRDefault="00025202" w:rsidP="00025202"/>
    <w:p w14:paraId="521C3DAF" w14:textId="7A385A78" w:rsidR="00C9118B" w:rsidRPr="00885306" w:rsidRDefault="00C9118B" w:rsidP="00025202">
      <w:r w:rsidRPr="00885306">
        <w:t>08.02.-14.02.2025.</w:t>
      </w:r>
      <w:r w:rsidR="00025202" w:rsidRPr="00885306">
        <w:t xml:space="preserve"> </w:t>
      </w:r>
      <w:r w:rsidRPr="00885306">
        <w:t>– Kratkoročna mobilnost učenika – Švedska grad Gavle</w:t>
      </w:r>
    </w:p>
    <w:p w14:paraId="719E1B21" w14:textId="77777777" w:rsidR="00C9118B" w:rsidRPr="00885306" w:rsidRDefault="00C9118B" w:rsidP="00025202">
      <w:r w:rsidRPr="00885306">
        <w:t>Učenici: Katja Patačko, Rina Martinčić, Niko Pitar, Ante Čzrić Vid Ivandija, Ella Brnić, Luka Grumerec, Antonija Petrović</w:t>
      </w:r>
    </w:p>
    <w:p w14:paraId="59BD0C83" w14:textId="77777777" w:rsidR="00C9118B" w:rsidRPr="00885306" w:rsidRDefault="00C9118B" w:rsidP="00025202">
      <w:r w:rsidRPr="00885306">
        <w:t>Nastavnici: Martina Zlatar, Barbara Miloš</w:t>
      </w:r>
      <w:r w:rsidR="00025202" w:rsidRPr="00885306">
        <w:t xml:space="preserve"> </w:t>
      </w:r>
      <w:r w:rsidR="00025202" w:rsidRPr="00885306">
        <w:br/>
      </w:r>
      <w:r w:rsidR="00025202" w:rsidRPr="00885306">
        <w:br/>
      </w:r>
      <w:r w:rsidRPr="00885306">
        <w:t>24.03.2025.-01.04.2025. – Kratkoročna mobilnost učenika – Portugal grad Azores</w:t>
      </w:r>
    </w:p>
    <w:p w14:paraId="6D55126D" w14:textId="77777777" w:rsidR="007F7AC9" w:rsidRPr="00885306" w:rsidRDefault="00C9118B" w:rsidP="00025202">
      <w:r w:rsidRPr="00885306">
        <w:t>Učenici:</w:t>
      </w:r>
      <w:r w:rsidR="007F7AC9" w:rsidRPr="00885306">
        <w:t xml:space="preserve"> Leonarda Hrženjak, Judita Maznik, Vito Lazar, Karol Stanešić, Luka Štefanac, Šimun Franković, Lea Smiljanec, Ema Tuba</w:t>
      </w:r>
    </w:p>
    <w:p w14:paraId="63D403BE" w14:textId="77777777" w:rsidR="004421F5" w:rsidRPr="00885306" w:rsidRDefault="007F7AC9" w:rsidP="007F7AC9">
      <w:r w:rsidRPr="00885306">
        <w:t>Nastavnici ; Iva  Avirović, Irena Tišljar</w:t>
      </w:r>
      <w:r w:rsidR="00025202" w:rsidRPr="00885306">
        <w:br/>
      </w:r>
      <w:r w:rsidR="00025202" w:rsidRPr="00885306">
        <w:br/>
      </w:r>
      <w:r w:rsidRPr="00885306">
        <w:t>02.6.-09.06.2025. – Aktivnost praćenja nastave (job shadowing) u okviru Erasmus akreditacije – Norveška grad Stjordal</w:t>
      </w:r>
      <w:r w:rsidR="00025202" w:rsidRPr="00885306">
        <w:br/>
      </w:r>
      <w:r w:rsidRPr="00885306">
        <w:t>Sudionici: Ana Huzjak, Jasna Horat Vlahović</w:t>
      </w:r>
    </w:p>
    <w:p w14:paraId="42F57355" w14:textId="77777777" w:rsidR="004421F5" w:rsidRPr="00885306" w:rsidRDefault="004421F5" w:rsidP="007F7AC9"/>
    <w:p w14:paraId="6B3C3E13" w14:textId="015CBE5A" w:rsidR="007F7AC9" w:rsidRPr="00885306" w:rsidRDefault="004421F5" w:rsidP="007F7AC9">
      <w:r w:rsidRPr="00885306">
        <w:t>U razdoblju od 1.1-30.6.2025. godine  u sklopu Erasmus+ projekta  škola je bila domaćin učenicima iz Nizozemske, Italije, Švedske i Portugala.</w:t>
      </w:r>
      <w:r w:rsidR="00025202" w:rsidRPr="00885306">
        <w:br/>
      </w:r>
    </w:p>
    <w:p w14:paraId="006FDBB1" w14:textId="502A0A27" w:rsidR="007F7AC9" w:rsidRPr="00885306" w:rsidRDefault="007F7AC9" w:rsidP="00025202">
      <w:r w:rsidRPr="00885306">
        <w:t>1.1.-3</w:t>
      </w:r>
      <w:r w:rsidR="00885306" w:rsidRPr="00885306">
        <w:t>1.8</w:t>
      </w:r>
      <w:r w:rsidRPr="00885306">
        <w:t>.2025.</w:t>
      </w:r>
      <w:r w:rsidR="00025202" w:rsidRPr="00885306">
        <w:t xml:space="preserve"> Projekt o profesionalnoj orijentaciji – PUTOKAZ – vrijednost projekta: 2.000,00 €.Projekt je financiran od strane MZOM-a.</w:t>
      </w:r>
      <w:r w:rsidR="00025202" w:rsidRPr="00885306">
        <w:rPr>
          <w:i/>
          <w:iCs/>
        </w:rPr>
        <w:t xml:space="preserve"> </w:t>
      </w:r>
      <w:r w:rsidR="00025202" w:rsidRPr="00885306">
        <w:t>Projekt se provodi</w:t>
      </w:r>
      <w:r w:rsidR="00885306" w:rsidRPr="00885306">
        <w:t>o</w:t>
      </w:r>
      <w:r w:rsidR="00025202" w:rsidRPr="00885306">
        <w:t xml:space="preserve"> u svim razrednim odjelima s ciljem pružanje podrške i informacija učenicima o profesionalnoj orijentaciji kako bi se ih osnažilo pri donošenju odluka za daljnje obrazovanje i karijeru.</w:t>
      </w:r>
    </w:p>
    <w:p w14:paraId="21B59EFB" w14:textId="7ACC0885" w:rsidR="00025202" w:rsidRPr="009C2A71" w:rsidRDefault="00025202" w:rsidP="00025202">
      <w:pPr>
        <w:rPr>
          <w:color w:val="FF0000"/>
        </w:rPr>
      </w:pPr>
      <w:r w:rsidRPr="009C2A71">
        <w:rPr>
          <w:color w:val="FF0000"/>
        </w:rPr>
        <w:br/>
      </w:r>
    </w:p>
    <w:p w14:paraId="4FA0D1C8" w14:textId="77777777" w:rsidR="00025202" w:rsidRPr="00885306" w:rsidRDefault="00025202" w:rsidP="00025202">
      <w:r w:rsidRPr="00885306">
        <w:t>ERASMUS+ Jean Monet</w:t>
      </w:r>
    </w:p>
    <w:p w14:paraId="28B2F65F" w14:textId="77777777" w:rsidR="00885306" w:rsidRDefault="00025202" w:rsidP="00025202">
      <w:r w:rsidRPr="00885306">
        <w:t xml:space="preserve">Projekt će doprinijeti boljem informiranju nastavnika škole s boljim načinima poučavanja tema vezanih uz EU kroz izgradnju kurikuluma za nastavnike i učenike i kratke mobilnosti učenika tj. sudjelovanju na zajedničkim predavanjima. Ovakvim pristupom će se  doprinijeti socijalnoj koheziji, poticanju inovacija (u nastavnom procesu prioritetno, ali ne i isključivo), te će se poticati europski identitet i aktivno građanstvo. Projekt će omogućiti da se pojedine prepreke u komunikaciji smanje jer će razvoj mreže pomoći ublaži ili u potpunosti ukloniti prepreke za komunikaciju i razvoj škola i obrazovnih institucija </w:t>
      </w:r>
    </w:p>
    <w:p w14:paraId="1756725F" w14:textId="77777777" w:rsidR="00885306" w:rsidRDefault="00885306" w:rsidP="00025202"/>
    <w:p w14:paraId="45B10CB3" w14:textId="77777777" w:rsidR="00B105E0" w:rsidRDefault="00B105E0" w:rsidP="00025202"/>
    <w:p w14:paraId="3E48BAF5" w14:textId="77777777" w:rsidR="00B105E0" w:rsidRDefault="00B105E0" w:rsidP="00025202"/>
    <w:p w14:paraId="3719FD35" w14:textId="77777777" w:rsidR="00B105E0" w:rsidRDefault="00B105E0" w:rsidP="00025202"/>
    <w:p w14:paraId="679CD440" w14:textId="74A27459" w:rsidR="00025202" w:rsidRPr="00885306" w:rsidRDefault="00025202" w:rsidP="00025202">
      <w:r w:rsidRPr="00885306">
        <w:t>poput  invaliditeta, zdravstvenog statusa, prepreka koje proizlaze iz sustava obrazovanja i osposobljavanja te kulturne , društvene, ekonomske i geografske prepreke i diskriminacije. Korištenjem digitalne tehnologije, nadalje, želimo transformirati i način prikupljanja, obrade i prijenosa informacija unutar projekta, ali jednako tako želimo da su informacije dostupne svim zainteresiranim. Nadalje, cijeli projekt će biti naslonjen na izgradnju digitalnog okruženja za učenje. Program će poticati  uključenost u demokratski život i razumijevanje strukture EU-a kroz aktivno građanstvo.</w:t>
      </w:r>
    </w:p>
    <w:p w14:paraId="6BFEA4F3" w14:textId="77777777" w:rsidR="00BF636F" w:rsidRPr="009C2A71" w:rsidRDefault="00BF636F" w:rsidP="00BF636F">
      <w:pPr>
        <w:rPr>
          <w:color w:val="FF0000"/>
        </w:rPr>
      </w:pPr>
    </w:p>
    <w:p w14:paraId="492F5B68" w14:textId="77777777" w:rsidR="007F7AC9" w:rsidRDefault="007F7AC9" w:rsidP="00BF636F">
      <w:pPr>
        <w:widowControl/>
        <w:suppressAutoHyphens w:val="0"/>
        <w:rPr>
          <w:color w:val="FF0000"/>
        </w:rPr>
      </w:pPr>
    </w:p>
    <w:p w14:paraId="22526503" w14:textId="77777777" w:rsidR="00486BD6" w:rsidRDefault="00486BD6" w:rsidP="00BF636F">
      <w:pPr>
        <w:widowControl/>
        <w:suppressAutoHyphens w:val="0"/>
        <w:rPr>
          <w:color w:val="FF0000"/>
        </w:rPr>
      </w:pPr>
    </w:p>
    <w:p w14:paraId="09111656" w14:textId="77777777" w:rsidR="00486BD6" w:rsidRDefault="00486BD6" w:rsidP="00BF636F">
      <w:pPr>
        <w:widowControl/>
        <w:suppressAutoHyphens w:val="0"/>
        <w:rPr>
          <w:color w:val="FF0000"/>
        </w:rPr>
      </w:pPr>
    </w:p>
    <w:p w14:paraId="66F57647" w14:textId="77777777" w:rsidR="00486BD6" w:rsidRPr="009C2A71" w:rsidRDefault="00486BD6" w:rsidP="00BF636F">
      <w:pPr>
        <w:widowControl/>
        <w:suppressAutoHyphens w:val="0"/>
        <w:rPr>
          <w:color w:val="FF0000"/>
        </w:rPr>
      </w:pPr>
    </w:p>
    <w:p w14:paraId="78FBF7D2" w14:textId="272A2478" w:rsidR="00BF636F" w:rsidRPr="00486BD6" w:rsidRDefault="00BF636F" w:rsidP="007F7AC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6BD6">
        <w:rPr>
          <w:b/>
          <w:bCs/>
          <w:sz w:val="28"/>
          <w:szCs w:val="28"/>
        </w:rPr>
        <w:t>Posebni izvještaji u polugodišnjem izvještaju o izvršenju financijskog plana</w:t>
      </w:r>
    </w:p>
    <w:p w14:paraId="5DD1B6C4" w14:textId="77777777" w:rsidR="00BF636F" w:rsidRPr="00486BD6" w:rsidRDefault="00BF636F" w:rsidP="00BF636F">
      <w:pPr>
        <w:widowControl/>
        <w:suppressAutoHyphens w:val="0"/>
        <w:rPr>
          <w:b/>
          <w:bCs/>
        </w:rPr>
      </w:pPr>
    </w:p>
    <w:p w14:paraId="515D6AD3" w14:textId="77777777" w:rsidR="00BF636F" w:rsidRPr="00486BD6" w:rsidRDefault="00BF636F" w:rsidP="00BF636F">
      <w:pPr>
        <w:widowControl/>
        <w:suppressAutoHyphens w:val="0"/>
      </w:pPr>
      <w:r w:rsidRPr="00486BD6">
        <w:t>Posebni izvještaji u polugodišnjem izvještaju o izvršenju financijskog plana proračunskog korisnika sadrže slijedeće izvještaje.</w:t>
      </w:r>
    </w:p>
    <w:p w14:paraId="023336A6" w14:textId="77777777" w:rsidR="00BF636F" w:rsidRPr="00486BD6" w:rsidRDefault="00BF636F" w:rsidP="00BF636F">
      <w:pPr>
        <w:widowControl/>
        <w:suppressAutoHyphens w:val="0"/>
      </w:pPr>
    </w:p>
    <w:p w14:paraId="01C43C59" w14:textId="77777777" w:rsidR="00BF636F" w:rsidRPr="00486BD6" w:rsidRDefault="00BF636F" w:rsidP="00BF636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D6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</w:t>
      </w:r>
    </w:p>
    <w:p w14:paraId="604BE518" w14:textId="77777777" w:rsidR="00BF636F" w:rsidRPr="00486BD6" w:rsidRDefault="00BF636F" w:rsidP="00BF636F">
      <w:pPr>
        <w:widowControl/>
        <w:suppressAutoHyphens w:val="0"/>
      </w:pPr>
      <w:r w:rsidRPr="00486BD6">
        <w:t>Škola nema  zaduživanja po dugoročnim kreditima i zajmovima</w:t>
      </w:r>
    </w:p>
    <w:p w14:paraId="5AA0B47C" w14:textId="77777777" w:rsidR="00BF636F" w:rsidRPr="00486BD6" w:rsidRDefault="00BF636F" w:rsidP="00BF636F"/>
    <w:p w14:paraId="6238EB63" w14:textId="77777777" w:rsidR="00BF636F" w:rsidRPr="009C2A71" w:rsidRDefault="00BF636F" w:rsidP="00BF636F">
      <w:pPr>
        <w:rPr>
          <w:color w:val="FF0000"/>
        </w:rPr>
      </w:pPr>
    </w:p>
    <w:p w14:paraId="3CAB15D9" w14:textId="77777777" w:rsidR="00BF636F" w:rsidRPr="001D4202" w:rsidRDefault="00BF636F" w:rsidP="00BF636F">
      <w:pPr>
        <w:pStyle w:val="Odlomakpopisa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202">
        <w:rPr>
          <w:rFonts w:ascii="Times New Roman" w:hAnsi="Times New Roman" w:cs="Times New Roman"/>
          <w:sz w:val="24"/>
          <w:szCs w:val="24"/>
        </w:rPr>
        <w:t>Izvještaj o korištenju sredstava  fondova Europske unije</w:t>
      </w:r>
    </w:p>
    <w:p w14:paraId="0A71FA5B" w14:textId="77777777" w:rsidR="00BF636F" w:rsidRPr="009C2A71" w:rsidRDefault="00BF636F" w:rsidP="00BF636F">
      <w:pPr>
        <w:rPr>
          <w:color w:val="FF0000"/>
        </w:rPr>
      </w:pPr>
    </w:p>
    <w:tbl>
      <w:tblPr>
        <w:tblW w:w="8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4"/>
        <w:gridCol w:w="12"/>
        <w:gridCol w:w="2974"/>
        <w:gridCol w:w="2691"/>
      </w:tblGrid>
      <w:tr w:rsidR="001D4202" w:rsidRPr="009C2A71" w14:paraId="3DF7BCF3" w14:textId="77777777" w:rsidTr="001D4202">
        <w:trPr>
          <w:trHeight w:val="188"/>
        </w:trPr>
        <w:tc>
          <w:tcPr>
            <w:tcW w:w="3056" w:type="dxa"/>
            <w:gridSpan w:val="2"/>
          </w:tcPr>
          <w:p w14:paraId="1A2882EC" w14:textId="77777777" w:rsidR="001D4202" w:rsidRPr="009C2A71" w:rsidRDefault="001D4202" w:rsidP="005207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4" w:type="dxa"/>
          </w:tcPr>
          <w:p w14:paraId="1F3368E2" w14:textId="77777777" w:rsidR="001D4202" w:rsidRPr="009E30B8" w:rsidRDefault="001D4202" w:rsidP="005207E5">
            <w:pPr>
              <w:jc w:val="center"/>
              <w:rPr>
                <w:sz w:val="20"/>
                <w:szCs w:val="20"/>
              </w:rPr>
            </w:pPr>
          </w:p>
          <w:p w14:paraId="124B7514" w14:textId="65D25A22" w:rsidR="001D4202" w:rsidRPr="009E30B8" w:rsidRDefault="001D4202" w:rsidP="005207E5">
            <w:pPr>
              <w:jc w:val="center"/>
              <w:rPr>
                <w:sz w:val="20"/>
                <w:szCs w:val="20"/>
              </w:rPr>
            </w:pPr>
            <w:r w:rsidRPr="009E30B8">
              <w:rPr>
                <w:sz w:val="20"/>
                <w:szCs w:val="20"/>
              </w:rPr>
              <w:t>Prihodi/predujam</w:t>
            </w:r>
          </w:p>
        </w:tc>
        <w:tc>
          <w:tcPr>
            <w:tcW w:w="2691" w:type="dxa"/>
          </w:tcPr>
          <w:p w14:paraId="73D744F9" w14:textId="77777777" w:rsidR="001D4202" w:rsidRPr="009E30B8" w:rsidRDefault="001D4202" w:rsidP="005207E5">
            <w:pPr>
              <w:jc w:val="center"/>
              <w:rPr>
                <w:sz w:val="20"/>
                <w:szCs w:val="20"/>
              </w:rPr>
            </w:pPr>
          </w:p>
          <w:p w14:paraId="247DF3F4" w14:textId="77777777" w:rsidR="001D4202" w:rsidRPr="009E30B8" w:rsidRDefault="001D4202" w:rsidP="005207E5">
            <w:pPr>
              <w:jc w:val="center"/>
              <w:rPr>
                <w:sz w:val="20"/>
                <w:szCs w:val="20"/>
              </w:rPr>
            </w:pPr>
            <w:r w:rsidRPr="009E30B8">
              <w:rPr>
                <w:sz w:val="20"/>
                <w:szCs w:val="20"/>
              </w:rPr>
              <w:t>Rashodi</w:t>
            </w:r>
          </w:p>
        </w:tc>
      </w:tr>
      <w:tr w:rsidR="00ED43B6" w:rsidRPr="00ED43B6" w14:paraId="56552E4C" w14:textId="77777777" w:rsidTr="001D4202">
        <w:trPr>
          <w:trHeight w:val="188"/>
        </w:trPr>
        <w:tc>
          <w:tcPr>
            <w:tcW w:w="3056" w:type="dxa"/>
            <w:gridSpan w:val="2"/>
          </w:tcPr>
          <w:p w14:paraId="3708B2EA" w14:textId="77777777" w:rsidR="001D4202" w:rsidRPr="00ED43B6" w:rsidRDefault="001D4202" w:rsidP="005207E5">
            <w:pPr>
              <w:rPr>
                <w:sz w:val="20"/>
                <w:szCs w:val="20"/>
              </w:rPr>
            </w:pPr>
          </w:p>
          <w:p w14:paraId="1A9A8063" w14:textId="6250A321" w:rsidR="001D4202" w:rsidRPr="00ED43B6" w:rsidRDefault="00ED43B6" w:rsidP="005207E5">
            <w:pPr>
              <w:rPr>
                <w:sz w:val="20"/>
                <w:szCs w:val="20"/>
              </w:rPr>
            </w:pPr>
            <w:r w:rsidRPr="00ED43B6">
              <w:rPr>
                <w:sz w:val="20"/>
                <w:szCs w:val="20"/>
              </w:rPr>
              <w:t>Erasmus + Akreditacija III</w:t>
            </w:r>
          </w:p>
        </w:tc>
        <w:tc>
          <w:tcPr>
            <w:tcW w:w="2974" w:type="dxa"/>
          </w:tcPr>
          <w:p w14:paraId="6D6639EC" w14:textId="77777777" w:rsidR="001D4202" w:rsidRPr="00ED43B6" w:rsidRDefault="001D4202" w:rsidP="00B64D9C">
            <w:pPr>
              <w:jc w:val="center"/>
              <w:rPr>
                <w:sz w:val="20"/>
                <w:szCs w:val="20"/>
              </w:rPr>
            </w:pPr>
          </w:p>
          <w:p w14:paraId="00A46A4F" w14:textId="29378DCC" w:rsidR="00ED43B6" w:rsidRPr="00ED43B6" w:rsidRDefault="00ED43B6" w:rsidP="00B64D9C">
            <w:pPr>
              <w:jc w:val="center"/>
              <w:rPr>
                <w:sz w:val="20"/>
                <w:szCs w:val="20"/>
              </w:rPr>
            </w:pPr>
            <w:r w:rsidRPr="00ED43B6">
              <w:rPr>
                <w:sz w:val="20"/>
                <w:szCs w:val="20"/>
              </w:rPr>
              <w:t>21.561,07</w:t>
            </w:r>
          </w:p>
        </w:tc>
        <w:tc>
          <w:tcPr>
            <w:tcW w:w="2691" w:type="dxa"/>
          </w:tcPr>
          <w:p w14:paraId="79DE4601" w14:textId="77777777" w:rsidR="001D4202" w:rsidRPr="00ED43B6" w:rsidRDefault="001D4202" w:rsidP="00B64D9C">
            <w:pPr>
              <w:jc w:val="center"/>
              <w:rPr>
                <w:sz w:val="20"/>
                <w:szCs w:val="20"/>
              </w:rPr>
            </w:pPr>
          </w:p>
          <w:p w14:paraId="120F1DCC" w14:textId="6A53D27D" w:rsidR="00ED43B6" w:rsidRPr="00ED43B6" w:rsidRDefault="00ED43B6" w:rsidP="00B64D9C">
            <w:pPr>
              <w:jc w:val="center"/>
              <w:rPr>
                <w:sz w:val="20"/>
                <w:szCs w:val="20"/>
              </w:rPr>
            </w:pPr>
            <w:r w:rsidRPr="00ED43B6">
              <w:rPr>
                <w:sz w:val="20"/>
                <w:szCs w:val="20"/>
              </w:rPr>
              <w:t>15.470,67</w:t>
            </w:r>
          </w:p>
        </w:tc>
      </w:tr>
      <w:tr w:rsidR="001D4202" w:rsidRPr="009C2A71" w14:paraId="770C9670" w14:textId="77777777" w:rsidTr="001D4202">
        <w:trPr>
          <w:trHeight w:val="188"/>
        </w:trPr>
        <w:tc>
          <w:tcPr>
            <w:tcW w:w="3044" w:type="dxa"/>
          </w:tcPr>
          <w:p w14:paraId="0A1C1117" w14:textId="77777777" w:rsidR="001D4202" w:rsidRPr="009D2EAF" w:rsidRDefault="001D4202" w:rsidP="005207E5">
            <w:pPr>
              <w:rPr>
                <w:sz w:val="20"/>
                <w:szCs w:val="20"/>
              </w:rPr>
            </w:pPr>
            <w:r w:rsidRPr="009D2EAF">
              <w:rPr>
                <w:sz w:val="20"/>
                <w:szCs w:val="20"/>
              </w:rPr>
              <w:t>Erasmus +</w:t>
            </w:r>
          </w:p>
          <w:p w14:paraId="71C85A52" w14:textId="2D56ABEF" w:rsidR="001D4202" w:rsidRPr="009D2EAF" w:rsidRDefault="001D4202" w:rsidP="005207E5">
            <w:pPr>
              <w:rPr>
                <w:sz w:val="20"/>
                <w:szCs w:val="20"/>
              </w:rPr>
            </w:pPr>
            <w:r w:rsidRPr="009D2EAF">
              <w:rPr>
                <w:sz w:val="20"/>
                <w:szCs w:val="20"/>
              </w:rPr>
              <w:t>Akreditacija IV/</w:t>
            </w:r>
            <w:r w:rsidR="00ED43B6" w:rsidRPr="009D2EAF">
              <w:rPr>
                <w:sz w:val="20"/>
                <w:szCs w:val="20"/>
              </w:rPr>
              <w:t xml:space="preserve"> predujam  - </w:t>
            </w:r>
            <w:r w:rsidRPr="009D2EAF">
              <w:rPr>
                <w:sz w:val="20"/>
                <w:szCs w:val="20"/>
              </w:rPr>
              <w:t>2025. godina</w:t>
            </w:r>
          </w:p>
        </w:tc>
        <w:tc>
          <w:tcPr>
            <w:tcW w:w="2985" w:type="dxa"/>
            <w:gridSpan w:val="2"/>
          </w:tcPr>
          <w:p w14:paraId="0236D1F9" w14:textId="77777777" w:rsidR="001D4202" w:rsidRPr="009D2EAF" w:rsidRDefault="001D4202" w:rsidP="00133403">
            <w:pPr>
              <w:rPr>
                <w:sz w:val="20"/>
                <w:szCs w:val="20"/>
              </w:rPr>
            </w:pPr>
          </w:p>
          <w:p w14:paraId="725C81FB" w14:textId="77777777" w:rsidR="001D4202" w:rsidRPr="009D2EAF" w:rsidRDefault="001D4202" w:rsidP="00B64D9C">
            <w:pPr>
              <w:jc w:val="center"/>
              <w:rPr>
                <w:sz w:val="20"/>
                <w:szCs w:val="20"/>
              </w:rPr>
            </w:pPr>
          </w:p>
          <w:p w14:paraId="1B3155C8" w14:textId="16D7DD96" w:rsidR="001D4202" w:rsidRPr="009D2EAF" w:rsidRDefault="001D4202" w:rsidP="00B64D9C">
            <w:pPr>
              <w:jc w:val="center"/>
              <w:rPr>
                <w:sz w:val="20"/>
                <w:szCs w:val="20"/>
              </w:rPr>
            </w:pPr>
            <w:r w:rsidRPr="009D2EAF">
              <w:rPr>
                <w:sz w:val="20"/>
                <w:szCs w:val="20"/>
              </w:rPr>
              <w:t>36.960,00</w:t>
            </w:r>
          </w:p>
        </w:tc>
        <w:tc>
          <w:tcPr>
            <w:tcW w:w="2691" w:type="dxa"/>
          </w:tcPr>
          <w:p w14:paraId="300D1D7C" w14:textId="77777777" w:rsidR="001D4202" w:rsidRPr="009D2EAF" w:rsidRDefault="001D4202" w:rsidP="00B64D9C">
            <w:pPr>
              <w:jc w:val="center"/>
              <w:rPr>
                <w:sz w:val="20"/>
                <w:szCs w:val="20"/>
              </w:rPr>
            </w:pPr>
          </w:p>
          <w:p w14:paraId="51B9DB98" w14:textId="77777777" w:rsidR="001D4202" w:rsidRPr="009D2EAF" w:rsidRDefault="001D4202" w:rsidP="00B64D9C">
            <w:pPr>
              <w:jc w:val="center"/>
              <w:rPr>
                <w:sz w:val="20"/>
                <w:szCs w:val="20"/>
              </w:rPr>
            </w:pPr>
          </w:p>
          <w:p w14:paraId="71B5ED3A" w14:textId="720A856E" w:rsidR="001D4202" w:rsidRPr="009D2EAF" w:rsidRDefault="00166DB9" w:rsidP="00B64D9C">
            <w:pPr>
              <w:jc w:val="center"/>
              <w:rPr>
                <w:sz w:val="20"/>
                <w:szCs w:val="20"/>
              </w:rPr>
            </w:pPr>
            <w:r w:rsidRPr="009D2EAF">
              <w:rPr>
                <w:sz w:val="20"/>
                <w:szCs w:val="20"/>
              </w:rPr>
              <w:t>11.231,33</w:t>
            </w:r>
          </w:p>
        </w:tc>
      </w:tr>
      <w:tr w:rsidR="001D4202" w:rsidRPr="009C2A71" w14:paraId="2F1366E3" w14:textId="77777777" w:rsidTr="001D4202">
        <w:trPr>
          <w:trHeight w:val="465"/>
        </w:trPr>
        <w:tc>
          <w:tcPr>
            <w:tcW w:w="3044" w:type="dxa"/>
          </w:tcPr>
          <w:p w14:paraId="0FD19940" w14:textId="1FF957C4" w:rsidR="001D4202" w:rsidRPr="009D2EAF" w:rsidRDefault="001D4202" w:rsidP="005207E5">
            <w:pPr>
              <w:rPr>
                <w:sz w:val="20"/>
                <w:szCs w:val="20"/>
              </w:rPr>
            </w:pPr>
            <w:r w:rsidRPr="009D2EAF">
              <w:rPr>
                <w:sz w:val="20"/>
                <w:szCs w:val="20"/>
              </w:rPr>
              <w:t xml:space="preserve">Erasmus + akreditacija/preneseni višak iz </w:t>
            </w:r>
            <w:r w:rsidR="00ED43B6" w:rsidRPr="009D2EAF">
              <w:rPr>
                <w:sz w:val="20"/>
                <w:szCs w:val="20"/>
              </w:rPr>
              <w:t>proteklih razd. (uplate. po završnim izvješćima)</w:t>
            </w:r>
          </w:p>
        </w:tc>
        <w:tc>
          <w:tcPr>
            <w:tcW w:w="2985" w:type="dxa"/>
            <w:gridSpan w:val="2"/>
          </w:tcPr>
          <w:p w14:paraId="55EFEF3E" w14:textId="77777777" w:rsidR="001D4202" w:rsidRPr="009D2EAF" w:rsidRDefault="001D4202" w:rsidP="00B64D9C">
            <w:pPr>
              <w:rPr>
                <w:sz w:val="20"/>
                <w:szCs w:val="20"/>
              </w:rPr>
            </w:pPr>
          </w:p>
          <w:p w14:paraId="2C363B39" w14:textId="77777777" w:rsidR="001D4202" w:rsidRPr="009D2EAF" w:rsidRDefault="001D4202" w:rsidP="00860B71">
            <w:pPr>
              <w:jc w:val="center"/>
              <w:rPr>
                <w:sz w:val="20"/>
                <w:szCs w:val="20"/>
              </w:rPr>
            </w:pPr>
          </w:p>
          <w:p w14:paraId="1079231E" w14:textId="2C7BC451" w:rsidR="001D4202" w:rsidRPr="009D2EAF" w:rsidRDefault="00A53BE9" w:rsidP="00133403">
            <w:pPr>
              <w:jc w:val="center"/>
              <w:rPr>
                <w:sz w:val="20"/>
                <w:szCs w:val="20"/>
              </w:rPr>
            </w:pPr>
            <w:r w:rsidRPr="009D2EAF">
              <w:rPr>
                <w:sz w:val="20"/>
                <w:szCs w:val="20"/>
              </w:rPr>
              <w:t>18.819,76</w:t>
            </w:r>
          </w:p>
        </w:tc>
        <w:tc>
          <w:tcPr>
            <w:tcW w:w="2691" w:type="dxa"/>
          </w:tcPr>
          <w:p w14:paraId="59C406D3" w14:textId="77777777" w:rsidR="001D4202" w:rsidRPr="009D2EAF" w:rsidRDefault="001D4202" w:rsidP="00B64D9C">
            <w:pPr>
              <w:jc w:val="center"/>
              <w:rPr>
                <w:sz w:val="20"/>
                <w:szCs w:val="20"/>
              </w:rPr>
            </w:pPr>
          </w:p>
          <w:p w14:paraId="443F80FC" w14:textId="77777777" w:rsidR="001D4202" w:rsidRPr="009D2EAF" w:rsidRDefault="001D4202" w:rsidP="00B64D9C">
            <w:pPr>
              <w:jc w:val="center"/>
              <w:rPr>
                <w:sz w:val="20"/>
                <w:szCs w:val="20"/>
              </w:rPr>
            </w:pPr>
          </w:p>
          <w:p w14:paraId="7AB3C2C8" w14:textId="0FFF01D9" w:rsidR="001D4202" w:rsidRPr="009D2EAF" w:rsidRDefault="00ED43B6" w:rsidP="00B64D9C">
            <w:pPr>
              <w:jc w:val="center"/>
              <w:rPr>
                <w:sz w:val="20"/>
                <w:szCs w:val="20"/>
              </w:rPr>
            </w:pPr>
            <w:r w:rsidRPr="009D2EAF">
              <w:rPr>
                <w:sz w:val="20"/>
                <w:szCs w:val="20"/>
              </w:rPr>
              <w:t>15.188,08</w:t>
            </w:r>
          </w:p>
        </w:tc>
      </w:tr>
    </w:tbl>
    <w:p w14:paraId="303D317B" w14:textId="77777777" w:rsidR="00BF636F" w:rsidRPr="009C2A71" w:rsidRDefault="00BF636F" w:rsidP="00BF636F">
      <w:pPr>
        <w:ind w:left="60"/>
        <w:rPr>
          <w:color w:val="FF0000"/>
        </w:rPr>
      </w:pPr>
    </w:p>
    <w:p w14:paraId="36A006C3" w14:textId="0E7134E3" w:rsidR="00BF636F" w:rsidRDefault="00676B03" w:rsidP="00BF636F">
      <w:pPr>
        <w:rPr>
          <w:sz w:val="22"/>
          <w:szCs w:val="22"/>
        </w:rPr>
      </w:pPr>
      <w:r w:rsidRPr="009D2EAF">
        <w:rPr>
          <w:sz w:val="22"/>
          <w:szCs w:val="22"/>
        </w:rPr>
        <w:t>U razdoblju 1.1-</w:t>
      </w:r>
      <w:r w:rsidR="009D2EAF" w:rsidRPr="009D2EAF">
        <w:rPr>
          <w:sz w:val="22"/>
          <w:szCs w:val="22"/>
        </w:rPr>
        <w:t>31.12</w:t>
      </w:r>
      <w:r w:rsidRPr="009D2EAF">
        <w:rPr>
          <w:sz w:val="22"/>
          <w:szCs w:val="22"/>
        </w:rPr>
        <w:t xml:space="preserve">.2025. godine školi je uplaćen predujam u iznosu od =36.960,00 € za Erasmus + projekt </w:t>
      </w:r>
      <w:r w:rsidR="00BF636F" w:rsidRPr="009D2EAF">
        <w:rPr>
          <w:sz w:val="22"/>
          <w:szCs w:val="22"/>
        </w:rPr>
        <w:t xml:space="preserve"> </w:t>
      </w:r>
      <w:r w:rsidRPr="009D2EAF">
        <w:rPr>
          <w:sz w:val="22"/>
          <w:szCs w:val="22"/>
        </w:rPr>
        <w:t>temeljem ugovora 2025-1-HR01-KA121-SCH-00315870 (ukupna vrijednost odobrenih sredstava =46.200,00 €) za razdoblje 01.06.2025.-31.08.2026. godine</w:t>
      </w:r>
      <w:r w:rsidR="004421F5" w:rsidRPr="009D2EAF">
        <w:rPr>
          <w:sz w:val="22"/>
          <w:szCs w:val="22"/>
        </w:rPr>
        <w:t>, navedeni iznos evidentira</w:t>
      </w:r>
      <w:r w:rsidR="009D2EAF" w:rsidRPr="009D2EAF">
        <w:rPr>
          <w:sz w:val="22"/>
          <w:szCs w:val="22"/>
        </w:rPr>
        <w:t>n je</w:t>
      </w:r>
      <w:r w:rsidR="004421F5" w:rsidRPr="009D2EAF">
        <w:rPr>
          <w:sz w:val="22"/>
          <w:szCs w:val="22"/>
        </w:rPr>
        <w:t xml:space="preserve"> kao predujam sve do odobrenja završnog izvješća kada se evidentira kao prihod, dok se rashodi vezeni uz projekt evidentiraju u vremenu nastanka poslovnog događaja.</w:t>
      </w:r>
      <w:r w:rsidR="009D2EAF">
        <w:rPr>
          <w:sz w:val="22"/>
          <w:szCs w:val="22"/>
        </w:rPr>
        <w:t xml:space="preserve"> </w:t>
      </w:r>
      <w:r w:rsidR="00BF636F" w:rsidRPr="009D2EAF">
        <w:rPr>
          <w:sz w:val="22"/>
          <w:szCs w:val="22"/>
        </w:rPr>
        <w:t xml:space="preserve">Sredstva </w:t>
      </w:r>
      <w:r w:rsidR="00F943E6" w:rsidRPr="009D2EAF">
        <w:rPr>
          <w:sz w:val="22"/>
          <w:szCs w:val="22"/>
        </w:rPr>
        <w:t xml:space="preserve"> se</w:t>
      </w:r>
      <w:r w:rsidR="00BF636F" w:rsidRPr="009D2EAF">
        <w:rPr>
          <w:sz w:val="22"/>
          <w:szCs w:val="22"/>
        </w:rPr>
        <w:t xml:space="preserve"> korist</w:t>
      </w:r>
      <w:r w:rsidR="00F943E6" w:rsidRPr="009D2EAF">
        <w:rPr>
          <w:sz w:val="22"/>
          <w:szCs w:val="22"/>
        </w:rPr>
        <w:t>it</w:t>
      </w:r>
      <w:r w:rsidR="009D2EAF" w:rsidRPr="009D2EAF">
        <w:rPr>
          <w:sz w:val="22"/>
          <w:szCs w:val="22"/>
        </w:rPr>
        <w:t>e</w:t>
      </w:r>
      <w:r w:rsidR="00F943E6" w:rsidRPr="009D2EAF">
        <w:rPr>
          <w:sz w:val="22"/>
          <w:szCs w:val="22"/>
        </w:rPr>
        <w:t xml:space="preserve"> </w:t>
      </w:r>
      <w:r w:rsidR="00BF636F" w:rsidRPr="009D2EAF">
        <w:rPr>
          <w:sz w:val="22"/>
          <w:szCs w:val="22"/>
        </w:rPr>
        <w:t xml:space="preserve">za rashode vezane uz Erasmus+ akreditacije, rashode učenika za prezentacije projekata, rashode putovanja u zemlji, nabavu poklona za mobilnosti isl. </w:t>
      </w:r>
    </w:p>
    <w:p w14:paraId="5FBE9596" w14:textId="340D3E26" w:rsidR="009D2EAF" w:rsidRPr="009D2EAF" w:rsidRDefault="009D2EAF" w:rsidP="00BF636F">
      <w:pPr>
        <w:rPr>
          <w:sz w:val="22"/>
          <w:szCs w:val="22"/>
        </w:rPr>
      </w:pPr>
      <w:r>
        <w:rPr>
          <w:sz w:val="22"/>
          <w:szCs w:val="22"/>
        </w:rPr>
        <w:t>U 2025. godini evidentirani su i prihodi Akreditacije III (po završnom izvješću) sa pripadajućim rashodima, kao i sredstva po završetku prethodnih akreditacija koja se vode kao preneseni višak, navedena sredstva koristila su se za rashode vezane uz mobilnosti u sklopu projekta i organizaciju domaćinstava.</w:t>
      </w:r>
    </w:p>
    <w:p w14:paraId="343040D4" w14:textId="1EC26ABA" w:rsidR="00BF636F" w:rsidRPr="009D2EAF" w:rsidRDefault="00BF636F" w:rsidP="00BF636F">
      <w:pPr>
        <w:rPr>
          <w:sz w:val="22"/>
          <w:szCs w:val="22"/>
        </w:rPr>
      </w:pPr>
      <w:r w:rsidRPr="009D2EAF">
        <w:rPr>
          <w:sz w:val="22"/>
          <w:szCs w:val="22"/>
        </w:rPr>
        <w:t xml:space="preserve">U Izvještaju o korištenju sredstava EU fondova prikazana su  utrošena sredstva zaprimljena za rashode Erasmus + </w:t>
      </w:r>
      <w:r w:rsidR="007C66C0" w:rsidRPr="009D2EAF">
        <w:rPr>
          <w:sz w:val="22"/>
          <w:szCs w:val="22"/>
        </w:rPr>
        <w:t>akreditacij</w:t>
      </w:r>
      <w:r w:rsidR="00446762" w:rsidRPr="009D2EAF">
        <w:rPr>
          <w:sz w:val="22"/>
          <w:szCs w:val="22"/>
        </w:rPr>
        <w:t>a</w:t>
      </w:r>
      <w:r w:rsidR="007C66C0" w:rsidRPr="009D2EAF">
        <w:rPr>
          <w:sz w:val="22"/>
          <w:szCs w:val="22"/>
        </w:rPr>
        <w:t>.</w:t>
      </w:r>
      <w:r w:rsidRPr="009D2EAF">
        <w:rPr>
          <w:sz w:val="22"/>
          <w:szCs w:val="22"/>
        </w:rPr>
        <w:t xml:space="preserve"> Sredstva su korištena za job shadowing (promatranje nastave u drugoj školi) , strukturirani tečajevi za nastavnike</w:t>
      </w:r>
      <w:r w:rsidR="00F943E6" w:rsidRPr="009D2EAF">
        <w:rPr>
          <w:sz w:val="22"/>
          <w:szCs w:val="22"/>
        </w:rPr>
        <w:t>,</w:t>
      </w:r>
      <w:r w:rsidR="00446762" w:rsidRPr="009D2EAF">
        <w:rPr>
          <w:sz w:val="22"/>
          <w:szCs w:val="22"/>
        </w:rPr>
        <w:t xml:space="preserve"> </w:t>
      </w:r>
      <w:r w:rsidRPr="009D2EAF">
        <w:rPr>
          <w:sz w:val="22"/>
          <w:szCs w:val="22"/>
        </w:rPr>
        <w:t>kratkoročne mobilnost grupe učenika</w:t>
      </w:r>
      <w:r w:rsidR="00446762" w:rsidRPr="009D2EAF">
        <w:rPr>
          <w:sz w:val="22"/>
          <w:szCs w:val="22"/>
        </w:rPr>
        <w:t>, organizaciju domaćinstva za posjet učenika iz zemalja sudionika projekta</w:t>
      </w:r>
      <w:r w:rsidR="00F943E6" w:rsidRPr="009D2EAF">
        <w:rPr>
          <w:sz w:val="22"/>
          <w:szCs w:val="22"/>
        </w:rPr>
        <w:t xml:space="preserve"> ka i ostale rashode vezane uz provođenje projekta Erasmus+</w:t>
      </w:r>
      <w:r w:rsidR="00446762" w:rsidRPr="009D2EAF">
        <w:rPr>
          <w:sz w:val="22"/>
          <w:szCs w:val="22"/>
        </w:rPr>
        <w:t>.</w:t>
      </w:r>
      <w:r w:rsidR="004421F5" w:rsidRPr="009D2EAF">
        <w:rPr>
          <w:sz w:val="22"/>
          <w:szCs w:val="22"/>
        </w:rPr>
        <w:t xml:space="preserve">  </w:t>
      </w:r>
    </w:p>
    <w:p w14:paraId="0EE0C090" w14:textId="77777777" w:rsidR="00EA6FAF" w:rsidRPr="009D2EAF" w:rsidRDefault="00EA6FAF" w:rsidP="00BF636F"/>
    <w:p w14:paraId="73D69F45" w14:textId="77777777" w:rsidR="00BF636F" w:rsidRPr="00D14110" w:rsidRDefault="00BF636F" w:rsidP="00BF636F">
      <w:pPr>
        <w:pStyle w:val="Odlomakpopisa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110">
        <w:rPr>
          <w:rFonts w:ascii="Times New Roman" w:hAnsi="Times New Roman" w:cs="Times New Roman"/>
          <w:sz w:val="24"/>
          <w:szCs w:val="24"/>
        </w:rPr>
        <w:t>Izvještaj o danim zajmovima i potraživanjima po danim zajmovima</w:t>
      </w:r>
    </w:p>
    <w:p w14:paraId="0BA90F68" w14:textId="77777777" w:rsidR="00BF636F" w:rsidRPr="00D14110" w:rsidRDefault="00BF636F" w:rsidP="00BF636F">
      <w:pPr>
        <w:widowControl/>
        <w:suppressAutoHyphens w:val="0"/>
      </w:pPr>
      <w:r w:rsidRPr="00D14110">
        <w:t>Škola nema danih zajmova i potraživanja za iste.</w:t>
      </w:r>
    </w:p>
    <w:p w14:paraId="6FC0CDA3" w14:textId="77777777" w:rsidR="00BF636F" w:rsidRPr="009C2A71" w:rsidRDefault="00BF636F" w:rsidP="00BF636F">
      <w:pPr>
        <w:widowControl/>
        <w:suppressAutoHyphens w:val="0"/>
        <w:rPr>
          <w:color w:val="FF0000"/>
        </w:rPr>
      </w:pPr>
    </w:p>
    <w:p w14:paraId="529DE3A5" w14:textId="77777777" w:rsidR="00BF636F" w:rsidRDefault="00BF636F" w:rsidP="00BF636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110">
        <w:rPr>
          <w:rFonts w:ascii="Times New Roman" w:hAnsi="Times New Roman" w:cs="Times New Roman"/>
          <w:sz w:val="24"/>
          <w:szCs w:val="24"/>
        </w:rPr>
        <w:t>Izvještaj o stanju potraživanja i dospjelih obveza te o stanju potencijalnih obveza po osnovi sudskih sporova</w:t>
      </w:r>
    </w:p>
    <w:p w14:paraId="587D10EE" w14:textId="77777777" w:rsidR="00DE1422" w:rsidRDefault="00DE1422" w:rsidP="00DE1422"/>
    <w:p w14:paraId="03B8652E" w14:textId="77777777" w:rsidR="00DE1422" w:rsidRDefault="00DE1422" w:rsidP="00DE1422"/>
    <w:p w14:paraId="406B8705" w14:textId="77777777" w:rsidR="00DE1422" w:rsidRDefault="00DE1422" w:rsidP="00DE1422"/>
    <w:p w14:paraId="21F34914" w14:textId="77777777" w:rsidR="00DE1422" w:rsidRDefault="00DE1422" w:rsidP="00DE1422"/>
    <w:p w14:paraId="037F5FAD" w14:textId="77777777" w:rsidR="00DE1422" w:rsidRDefault="00DE1422" w:rsidP="00DE1422"/>
    <w:p w14:paraId="5F5BDDEC" w14:textId="77777777" w:rsidR="00DE1422" w:rsidRDefault="00DE1422" w:rsidP="00DE1422"/>
    <w:p w14:paraId="4B4468FB" w14:textId="77777777" w:rsidR="00DE1422" w:rsidRDefault="00DE1422" w:rsidP="00DE1422"/>
    <w:p w14:paraId="29A4D0B6" w14:textId="77777777" w:rsidR="00DE1422" w:rsidRDefault="00DE1422" w:rsidP="00DE1422"/>
    <w:p w14:paraId="3302D6DC" w14:textId="08CC08F2" w:rsidR="00DE1422" w:rsidRDefault="00DE1422" w:rsidP="00DE1422">
      <w:r>
        <w:t xml:space="preserve">Stanje </w:t>
      </w:r>
      <w:r w:rsidR="00B105E0">
        <w:t xml:space="preserve">nedospjelih </w:t>
      </w:r>
      <w:r>
        <w:t>obveza na kraju izvještajnog razdoblja:</w:t>
      </w:r>
      <w:r w:rsidR="00486BD6">
        <w:t xml:space="preserve"> =</w:t>
      </w:r>
      <w:r>
        <w:t>118.745,68 €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2393"/>
        <w:gridCol w:w="5052"/>
        <w:gridCol w:w="1676"/>
      </w:tblGrid>
      <w:tr w:rsidR="00DE1422" w:rsidRPr="00DE1422" w14:paraId="68EF2E5B" w14:textId="77777777" w:rsidTr="00DE1422">
        <w:trPr>
          <w:trHeight w:val="334"/>
        </w:trPr>
        <w:tc>
          <w:tcPr>
            <w:tcW w:w="1073" w:type="dxa"/>
          </w:tcPr>
          <w:p w14:paraId="685055B5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</w:p>
          <w:p w14:paraId="6CF4FCAF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231</w:t>
            </w:r>
          </w:p>
        </w:tc>
        <w:tc>
          <w:tcPr>
            <w:tcW w:w="2393" w:type="dxa"/>
          </w:tcPr>
          <w:p w14:paraId="0D8EB00D" w14:textId="77777777" w:rsidR="00DE1422" w:rsidRPr="00DE1422" w:rsidRDefault="00DE1422" w:rsidP="00F77880">
            <w:pPr>
              <w:rPr>
                <w:sz w:val="22"/>
                <w:szCs w:val="22"/>
              </w:rPr>
            </w:pPr>
          </w:p>
          <w:p w14:paraId="36049A8C" w14:textId="77777777" w:rsidR="00DE1422" w:rsidRPr="00DE1422" w:rsidRDefault="00DE1422" w:rsidP="00F77880">
            <w:pPr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Obveze za zaposlene</w:t>
            </w:r>
          </w:p>
        </w:tc>
        <w:tc>
          <w:tcPr>
            <w:tcW w:w="5052" w:type="dxa"/>
          </w:tcPr>
          <w:p w14:paraId="69A9ACB2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Align w:val="bottom"/>
          </w:tcPr>
          <w:p w14:paraId="2D531F94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66.490,44</w:t>
            </w:r>
          </w:p>
        </w:tc>
      </w:tr>
      <w:tr w:rsidR="00DE1422" w:rsidRPr="006A36DA" w14:paraId="60B8AEC1" w14:textId="77777777" w:rsidTr="00DE1422">
        <w:trPr>
          <w:trHeight w:val="334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855" w14:textId="77777777" w:rsidR="00DE1422" w:rsidRDefault="00DE1422" w:rsidP="00F77880">
            <w:pPr>
              <w:jc w:val="center"/>
              <w:rPr>
                <w:sz w:val="22"/>
                <w:szCs w:val="22"/>
              </w:rPr>
            </w:pPr>
          </w:p>
          <w:p w14:paraId="72F89DDD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232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0ED6" w14:textId="77777777" w:rsidR="00DE1422" w:rsidRPr="00DE1422" w:rsidRDefault="00DE1422" w:rsidP="00F77880">
            <w:pPr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Obveze za materijalne</w:t>
            </w:r>
          </w:p>
          <w:p w14:paraId="43BF02C8" w14:textId="77777777" w:rsidR="00DE1422" w:rsidRPr="00DE1422" w:rsidRDefault="00DE1422" w:rsidP="00F77880">
            <w:pPr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rashode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0BC" w14:textId="77777777" w:rsidR="00DE1422" w:rsidRDefault="00DE1422" w:rsidP="00F77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96A1E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1.287,85</w:t>
            </w:r>
          </w:p>
        </w:tc>
      </w:tr>
      <w:tr w:rsidR="00DE1422" w:rsidRPr="0075079E" w14:paraId="1569960A" w14:textId="77777777" w:rsidTr="00DE1422">
        <w:trPr>
          <w:trHeight w:val="334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CEE" w14:textId="77777777" w:rsidR="00DE1422" w:rsidRDefault="00DE1422" w:rsidP="00F77880">
            <w:pPr>
              <w:jc w:val="center"/>
              <w:rPr>
                <w:sz w:val="22"/>
                <w:szCs w:val="22"/>
              </w:rPr>
            </w:pPr>
          </w:p>
          <w:p w14:paraId="6DBDC0D2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275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3ABE" w14:textId="77777777" w:rsidR="00DE1422" w:rsidRPr="00DE1422" w:rsidRDefault="00DE1422" w:rsidP="00F77880">
            <w:pPr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Obveze za  EU predujmove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7A5" w14:textId="77777777" w:rsidR="00DE1422" w:rsidRDefault="00DE1422" w:rsidP="00F77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3664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50.867,87</w:t>
            </w:r>
          </w:p>
        </w:tc>
      </w:tr>
      <w:tr w:rsidR="00DE1422" w:rsidRPr="002451B4" w14:paraId="6A4F0DDB" w14:textId="77777777" w:rsidTr="00DE1422">
        <w:trPr>
          <w:trHeight w:val="334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53E" w14:textId="77777777" w:rsidR="00DE1422" w:rsidRDefault="00DE1422" w:rsidP="00F77880">
            <w:pPr>
              <w:jc w:val="center"/>
              <w:rPr>
                <w:sz w:val="22"/>
                <w:szCs w:val="22"/>
              </w:rPr>
            </w:pPr>
          </w:p>
          <w:p w14:paraId="6D55CAF9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276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18A" w14:textId="77777777" w:rsidR="00DE1422" w:rsidRPr="00DE1422" w:rsidRDefault="00DE1422" w:rsidP="00F77880">
            <w:pPr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Obveze proračunskih korisnika za povrat u proračun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101" w14:textId="77777777" w:rsidR="00DE1422" w:rsidRDefault="00DE1422" w:rsidP="00F77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6436" w14:textId="77777777" w:rsidR="00DE1422" w:rsidRPr="00DE1422" w:rsidRDefault="00DE1422" w:rsidP="00F77880">
            <w:pPr>
              <w:jc w:val="center"/>
              <w:rPr>
                <w:sz w:val="22"/>
                <w:szCs w:val="22"/>
              </w:rPr>
            </w:pPr>
            <w:r w:rsidRPr="00DE1422">
              <w:rPr>
                <w:sz w:val="22"/>
                <w:szCs w:val="22"/>
              </w:rPr>
              <w:t>99,52</w:t>
            </w:r>
          </w:p>
        </w:tc>
      </w:tr>
    </w:tbl>
    <w:p w14:paraId="0408FFF7" w14:textId="77777777" w:rsidR="00DE1422" w:rsidRPr="00DE1422" w:rsidRDefault="00DE1422" w:rsidP="00DE1422"/>
    <w:p w14:paraId="0E330D7B" w14:textId="77777777" w:rsidR="00BF636F" w:rsidRPr="009C2A71" w:rsidRDefault="00BF636F" w:rsidP="00BF636F">
      <w:pPr>
        <w:rPr>
          <w:color w:val="FF0000"/>
        </w:rPr>
      </w:pPr>
    </w:p>
    <w:p w14:paraId="5798E7AC" w14:textId="1E3C920C" w:rsidR="00BF636F" w:rsidRPr="00D14110" w:rsidRDefault="00BF636F" w:rsidP="00BF636F">
      <w:r w:rsidRPr="00D14110">
        <w:t>U razdoblju od 1.1.-</w:t>
      </w:r>
      <w:r w:rsidR="00DE1422">
        <w:t>31.12</w:t>
      </w:r>
      <w:r w:rsidRPr="00D14110">
        <w:t>.</w:t>
      </w:r>
      <w:r w:rsidR="00133403" w:rsidRPr="00D14110">
        <w:t>2025.</w:t>
      </w:r>
      <w:r w:rsidRPr="00D14110">
        <w:t xml:space="preserve"> godine  škola nema potraživanja , dospjelih obveza kao i obveza po sudskim sporovima.</w:t>
      </w:r>
    </w:p>
    <w:p w14:paraId="1FFC8FF9" w14:textId="77777777" w:rsidR="00BF636F" w:rsidRPr="009C2A71" w:rsidRDefault="00BF636F" w:rsidP="00BF636F">
      <w:pPr>
        <w:rPr>
          <w:color w:val="FF0000"/>
        </w:rPr>
      </w:pPr>
    </w:p>
    <w:p w14:paraId="372BF8CF" w14:textId="77777777" w:rsidR="00BF636F" w:rsidRPr="00D14110" w:rsidRDefault="00BF636F" w:rsidP="00BF636F"/>
    <w:p w14:paraId="2CF4DD44" w14:textId="77777777" w:rsidR="00BF636F" w:rsidRPr="00D14110" w:rsidRDefault="00BF636F" w:rsidP="00BF636F">
      <w:pPr>
        <w:spacing w:line="276" w:lineRule="auto"/>
        <w:jc w:val="center"/>
      </w:pPr>
      <w:r w:rsidRPr="00D14110">
        <w:t xml:space="preserve">                                                                          Ravnatelj:</w:t>
      </w:r>
      <w:r w:rsidRPr="00D14110">
        <w:br/>
        <w:t xml:space="preserve">                                                                           Tomislav Ostojić,</w:t>
      </w:r>
    </w:p>
    <w:p w14:paraId="0B13CDA8" w14:textId="560E8998" w:rsidR="00BF636F" w:rsidRPr="00D14110" w:rsidRDefault="00BF636F" w:rsidP="00D14110">
      <w:pPr>
        <w:spacing w:line="276" w:lineRule="auto"/>
        <w:jc w:val="center"/>
      </w:pPr>
      <w:r w:rsidRPr="00D14110">
        <w:t xml:space="preserve">                                                                            mag.p</w:t>
      </w:r>
      <w:r w:rsidR="00086BDF" w:rsidRPr="00D14110">
        <w:t>ae</w:t>
      </w:r>
      <w:r w:rsidRPr="00D14110">
        <w:t>d.et mag.edu.inf</w:t>
      </w:r>
    </w:p>
    <w:sectPr w:rsidR="00BF636F" w:rsidRPr="00D14110" w:rsidSect="00ED3814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MV Bol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1AB"/>
    <w:multiLevelType w:val="hybridMultilevel"/>
    <w:tmpl w:val="B3CE94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73AB2"/>
    <w:multiLevelType w:val="hybridMultilevel"/>
    <w:tmpl w:val="DE7848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41B7B"/>
    <w:multiLevelType w:val="hybridMultilevel"/>
    <w:tmpl w:val="964C4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97B29"/>
    <w:multiLevelType w:val="hybridMultilevel"/>
    <w:tmpl w:val="65B433B8"/>
    <w:lvl w:ilvl="0" w:tplc="F68280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72135099">
    <w:abstractNumId w:val="3"/>
  </w:num>
  <w:num w:numId="2" w16cid:durableId="1832331930">
    <w:abstractNumId w:val="0"/>
  </w:num>
  <w:num w:numId="3" w16cid:durableId="5324996">
    <w:abstractNumId w:val="1"/>
  </w:num>
  <w:num w:numId="4" w16cid:durableId="1443299819">
    <w:abstractNumId w:val="2"/>
  </w:num>
  <w:num w:numId="5" w16cid:durableId="1955601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53"/>
    <w:rsid w:val="0000019C"/>
    <w:rsid w:val="00003D2D"/>
    <w:rsid w:val="00013C0F"/>
    <w:rsid w:val="000238C4"/>
    <w:rsid w:val="00025202"/>
    <w:rsid w:val="00030533"/>
    <w:rsid w:val="00037DD4"/>
    <w:rsid w:val="000418C3"/>
    <w:rsid w:val="0004340A"/>
    <w:rsid w:val="00051939"/>
    <w:rsid w:val="00052B62"/>
    <w:rsid w:val="00081B35"/>
    <w:rsid w:val="00086BDF"/>
    <w:rsid w:val="000939A7"/>
    <w:rsid w:val="00093A27"/>
    <w:rsid w:val="000A518D"/>
    <w:rsid w:val="000A56CC"/>
    <w:rsid w:val="000B1558"/>
    <w:rsid w:val="000B2C5F"/>
    <w:rsid w:val="000B6AE8"/>
    <w:rsid w:val="000C09CF"/>
    <w:rsid w:val="000D57E8"/>
    <w:rsid w:val="000F0AF9"/>
    <w:rsid w:val="000F5F5F"/>
    <w:rsid w:val="0010629C"/>
    <w:rsid w:val="00117B20"/>
    <w:rsid w:val="00133403"/>
    <w:rsid w:val="0014763D"/>
    <w:rsid w:val="00165FC3"/>
    <w:rsid w:val="001664E1"/>
    <w:rsid w:val="00166DB9"/>
    <w:rsid w:val="00171BB2"/>
    <w:rsid w:val="001754AC"/>
    <w:rsid w:val="00176AB3"/>
    <w:rsid w:val="0018779C"/>
    <w:rsid w:val="001967C0"/>
    <w:rsid w:val="001B41ED"/>
    <w:rsid w:val="001C7B24"/>
    <w:rsid w:val="001D10BD"/>
    <w:rsid w:val="001D13F6"/>
    <w:rsid w:val="001D27EA"/>
    <w:rsid w:val="001D4202"/>
    <w:rsid w:val="001E3139"/>
    <w:rsid w:val="001F7BDB"/>
    <w:rsid w:val="00207AFB"/>
    <w:rsid w:val="002166F0"/>
    <w:rsid w:val="0023053B"/>
    <w:rsid w:val="00237AAC"/>
    <w:rsid w:val="00247CE0"/>
    <w:rsid w:val="0025120F"/>
    <w:rsid w:val="0025375A"/>
    <w:rsid w:val="00255675"/>
    <w:rsid w:val="00256821"/>
    <w:rsid w:val="0026755A"/>
    <w:rsid w:val="002868D8"/>
    <w:rsid w:val="00294F77"/>
    <w:rsid w:val="00296E61"/>
    <w:rsid w:val="002B2001"/>
    <w:rsid w:val="002C0EEB"/>
    <w:rsid w:val="002E67E0"/>
    <w:rsid w:val="002E797A"/>
    <w:rsid w:val="00304FF7"/>
    <w:rsid w:val="00320F1D"/>
    <w:rsid w:val="00331938"/>
    <w:rsid w:val="00347ECC"/>
    <w:rsid w:val="00375B30"/>
    <w:rsid w:val="0037787F"/>
    <w:rsid w:val="003800C2"/>
    <w:rsid w:val="003C3C9B"/>
    <w:rsid w:val="003D4C30"/>
    <w:rsid w:val="004004FA"/>
    <w:rsid w:val="00406DF5"/>
    <w:rsid w:val="004354A0"/>
    <w:rsid w:val="00437CA1"/>
    <w:rsid w:val="004421F5"/>
    <w:rsid w:val="00446762"/>
    <w:rsid w:val="00473E69"/>
    <w:rsid w:val="004764FD"/>
    <w:rsid w:val="004824F8"/>
    <w:rsid w:val="00486BD6"/>
    <w:rsid w:val="00494068"/>
    <w:rsid w:val="004A2372"/>
    <w:rsid w:val="004D0A8C"/>
    <w:rsid w:val="004D3D7B"/>
    <w:rsid w:val="004E0B53"/>
    <w:rsid w:val="004F0B96"/>
    <w:rsid w:val="004F4C01"/>
    <w:rsid w:val="004F66CD"/>
    <w:rsid w:val="00516119"/>
    <w:rsid w:val="00526733"/>
    <w:rsid w:val="0054690E"/>
    <w:rsid w:val="0055527C"/>
    <w:rsid w:val="00556A37"/>
    <w:rsid w:val="00563B93"/>
    <w:rsid w:val="00567EA5"/>
    <w:rsid w:val="00590ABB"/>
    <w:rsid w:val="00594A19"/>
    <w:rsid w:val="00594A32"/>
    <w:rsid w:val="00595327"/>
    <w:rsid w:val="005972AC"/>
    <w:rsid w:val="005A74F7"/>
    <w:rsid w:val="005F3719"/>
    <w:rsid w:val="005F3916"/>
    <w:rsid w:val="005F5F85"/>
    <w:rsid w:val="00600CCB"/>
    <w:rsid w:val="00605B09"/>
    <w:rsid w:val="006062B5"/>
    <w:rsid w:val="00632EEC"/>
    <w:rsid w:val="0064609E"/>
    <w:rsid w:val="006652C9"/>
    <w:rsid w:val="006702FA"/>
    <w:rsid w:val="00674136"/>
    <w:rsid w:val="006742CA"/>
    <w:rsid w:val="00676B03"/>
    <w:rsid w:val="00681FB0"/>
    <w:rsid w:val="00683C99"/>
    <w:rsid w:val="00690B19"/>
    <w:rsid w:val="00695300"/>
    <w:rsid w:val="006A734D"/>
    <w:rsid w:val="006B2955"/>
    <w:rsid w:val="006C10B8"/>
    <w:rsid w:val="006C35D7"/>
    <w:rsid w:val="006C47B6"/>
    <w:rsid w:val="006D5BA1"/>
    <w:rsid w:val="00702840"/>
    <w:rsid w:val="00706972"/>
    <w:rsid w:val="00706CE5"/>
    <w:rsid w:val="007355B0"/>
    <w:rsid w:val="00736F9C"/>
    <w:rsid w:val="00743542"/>
    <w:rsid w:val="00747F71"/>
    <w:rsid w:val="00753868"/>
    <w:rsid w:val="00762CF8"/>
    <w:rsid w:val="00767610"/>
    <w:rsid w:val="007702C2"/>
    <w:rsid w:val="0077392D"/>
    <w:rsid w:val="0077459C"/>
    <w:rsid w:val="00783089"/>
    <w:rsid w:val="007931A3"/>
    <w:rsid w:val="007A57B5"/>
    <w:rsid w:val="007A7F6B"/>
    <w:rsid w:val="007C66C0"/>
    <w:rsid w:val="007F09B6"/>
    <w:rsid w:val="007F0BEB"/>
    <w:rsid w:val="007F71FE"/>
    <w:rsid w:val="007F7AC9"/>
    <w:rsid w:val="007F7BD1"/>
    <w:rsid w:val="00805ECE"/>
    <w:rsid w:val="00830199"/>
    <w:rsid w:val="008308E2"/>
    <w:rsid w:val="00840263"/>
    <w:rsid w:val="008422E0"/>
    <w:rsid w:val="00860B71"/>
    <w:rsid w:val="00871B7F"/>
    <w:rsid w:val="0088023A"/>
    <w:rsid w:val="00884978"/>
    <w:rsid w:val="00885306"/>
    <w:rsid w:val="008904CB"/>
    <w:rsid w:val="00895524"/>
    <w:rsid w:val="008966BC"/>
    <w:rsid w:val="008B3171"/>
    <w:rsid w:val="008B3D64"/>
    <w:rsid w:val="008C1EBE"/>
    <w:rsid w:val="008D315C"/>
    <w:rsid w:val="008E143F"/>
    <w:rsid w:val="008E2BC5"/>
    <w:rsid w:val="008F5A5D"/>
    <w:rsid w:val="00900876"/>
    <w:rsid w:val="00910735"/>
    <w:rsid w:val="00911F8E"/>
    <w:rsid w:val="0092542D"/>
    <w:rsid w:val="00925959"/>
    <w:rsid w:val="00934CF0"/>
    <w:rsid w:val="00940EEF"/>
    <w:rsid w:val="00956092"/>
    <w:rsid w:val="0096401F"/>
    <w:rsid w:val="009715E8"/>
    <w:rsid w:val="009821F8"/>
    <w:rsid w:val="00984AD3"/>
    <w:rsid w:val="009A3258"/>
    <w:rsid w:val="009A7B23"/>
    <w:rsid w:val="009B0C80"/>
    <w:rsid w:val="009B3999"/>
    <w:rsid w:val="009C207C"/>
    <w:rsid w:val="009C2706"/>
    <w:rsid w:val="009C2A71"/>
    <w:rsid w:val="009D2257"/>
    <w:rsid w:val="009D2EAF"/>
    <w:rsid w:val="009D3069"/>
    <w:rsid w:val="009D749A"/>
    <w:rsid w:val="009E30B8"/>
    <w:rsid w:val="009F1C9D"/>
    <w:rsid w:val="00A04296"/>
    <w:rsid w:val="00A17BAD"/>
    <w:rsid w:val="00A35280"/>
    <w:rsid w:val="00A53BE9"/>
    <w:rsid w:val="00A67CB2"/>
    <w:rsid w:val="00A706CE"/>
    <w:rsid w:val="00A70E43"/>
    <w:rsid w:val="00A832FA"/>
    <w:rsid w:val="00A924C7"/>
    <w:rsid w:val="00A974CA"/>
    <w:rsid w:val="00AA4B32"/>
    <w:rsid w:val="00AB7507"/>
    <w:rsid w:val="00AC1D23"/>
    <w:rsid w:val="00AD33C0"/>
    <w:rsid w:val="00B03B17"/>
    <w:rsid w:val="00B105E0"/>
    <w:rsid w:val="00B21526"/>
    <w:rsid w:val="00B35D4C"/>
    <w:rsid w:val="00B43D6A"/>
    <w:rsid w:val="00B460EC"/>
    <w:rsid w:val="00B51AF8"/>
    <w:rsid w:val="00B52686"/>
    <w:rsid w:val="00B629B6"/>
    <w:rsid w:val="00B64D9C"/>
    <w:rsid w:val="00B70D1C"/>
    <w:rsid w:val="00B73B0F"/>
    <w:rsid w:val="00B7756D"/>
    <w:rsid w:val="00B820C5"/>
    <w:rsid w:val="00BA4F2B"/>
    <w:rsid w:val="00BB5C4D"/>
    <w:rsid w:val="00BC5E8B"/>
    <w:rsid w:val="00BE35BF"/>
    <w:rsid w:val="00BF1632"/>
    <w:rsid w:val="00BF636F"/>
    <w:rsid w:val="00C14F34"/>
    <w:rsid w:val="00C432EB"/>
    <w:rsid w:val="00C43CA1"/>
    <w:rsid w:val="00C4455D"/>
    <w:rsid w:val="00C46084"/>
    <w:rsid w:val="00C52F77"/>
    <w:rsid w:val="00C55C42"/>
    <w:rsid w:val="00C5729F"/>
    <w:rsid w:val="00C61E4A"/>
    <w:rsid w:val="00C745AC"/>
    <w:rsid w:val="00C76C40"/>
    <w:rsid w:val="00C9118B"/>
    <w:rsid w:val="00C93806"/>
    <w:rsid w:val="00CA295D"/>
    <w:rsid w:val="00CD4FBD"/>
    <w:rsid w:val="00CD543F"/>
    <w:rsid w:val="00CE4AA7"/>
    <w:rsid w:val="00CF5657"/>
    <w:rsid w:val="00D00E2B"/>
    <w:rsid w:val="00D024D2"/>
    <w:rsid w:val="00D10524"/>
    <w:rsid w:val="00D1225C"/>
    <w:rsid w:val="00D12284"/>
    <w:rsid w:val="00D14110"/>
    <w:rsid w:val="00D2753B"/>
    <w:rsid w:val="00D36AD1"/>
    <w:rsid w:val="00D40161"/>
    <w:rsid w:val="00D4138E"/>
    <w:rsid w:val="00D41D2C"/>
    <w:rsid w:val="00D45993"/>
    <w:rsid w:val="00D62553"/>
    <w:rsid w:val="00D63078"/>
    <w:rsid w:val="00D97358"/>
    <w:rsid w:val="00DA3EEB"/>
    <w:rsid w:val="00DB099B"/>
    <w:rsid w:val="00DC7F29"/>
    <w:rsid w:val="00DE1422"/>
    <w:rsid w:val="00DE2DDB"/>
    <w:rsid w:val="00DE47F3"/>
    <w:rsid w:val="00DF7FBB"/>
    <w:rsid w:val="00E00005"/>
    <w:rsid w:val="00E051D8"/>
    <w:rsid w:val="00E37B1B"/>
    <w:rsid w:val="00E44A67"/>
    <w:rsid w:val="00E50250"/>
    <w:rsid w:val="00E538E4"/>
    <w:rsid w:val="00E63C1F"/>
    <w:rsid w:val="00E70E76"/>
    <w:rsid w:val="00E77E57"/>
    <w:rsid w:val="00E835E2"/>
    <w:rsid w:val="00E84FE2"/>
    <w:rsid w:val="00EA2E2B"/>
    <w:rsid w:val="00EA6FAF"/>
    <w:rsid w:val="00EA7060"/>
    <w:rsid w:val="00EC3BED"/>
    <w:rsid w:val="00EC5F93"/>
    <w:rsid w:val="00ED0415"/>
    <w:rsid w:val="00ED3814"/>
    <w:rsid w:val="00ED43B6"/>
    <w:rsid w:val="00ED6193"/>
    <w:rsid w:val="00EF406F"/>
    <w:rsid w:val="00EF5232"/>
    <w:rsid w:val="00EF61AD"/>
    <w:rsid w:val="00F11A3A"/>
    <w:rsid w:val="00F31A5E"/>
    <w:rsid w:val="00F33CF2"/>
    <w:rsid w:val="00F34294"/>
    <w:rsid w:val="00F41890"/>
    <w:rsid w:val="00F43AD0"/>
    <w:rsid w:val="00F61284"/>
    <w:rsid w:val="00F87FEF"/>
    <w:rsid w:val="00F928B3"/>
    <w:rsid w:val="00F932AB"/>
    <w:rsid w:val="00F943E6"/>
    <w:rsid w:val="00F9443B"/>
    <w:rsid w:val="00F9531C"/>
    <w:rsid w:val="00FE4428"/>
    <w:rsid w:val="00FE6438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9439"/>
  <w15:chartTrackingRefBased/>
  <w15:docId w15:val="{FF3519BA-1388-4ADF-854E-A5038627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255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255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255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255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255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255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255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255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255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2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2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2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25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25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25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25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25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25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255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62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255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62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255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625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255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625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25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25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255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4138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4138E"/>
    <w:rPr>
      <w:color w:val="954F72"/>
      <w:u w:val="single"/>
    </w:rPr>
  </w:style>
  <w:style w:type="paragraph" w:customStyle="1" w:styleId="msonormal0">
    <w:name w:val="msonormal"/>
    <w:basedOn w:val="Normal"/>
    <w:rsid w:val="00D4138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  <w:style w:type="paragraph" w:customStyle="1" w:styleId="xl63">
    <w:name w:val="xl63"/>
    <w:basedOn w:val="Normal"/>
    <w:rsid w:val="00D4138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64">
    <w:name w:val="xl64"/>
    <w:basedOn w:val="Normal"/>
    <w:rsid w:val="00D4138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65">
    <w:name w:val="xl65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66">
    <w:name w:val="xl66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67">
    <w:name w:val="xl67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kern w:val="0"/>
      <w:sz w:val="16"/>
      <w:szCs w:val="16"/>
      <w:lang w:eastAsia="hr-HR"/>
    </w:rPr>
  </w:style>
  <w:style w:type="paragraph" w:customStyle="1" w:styleId="xl68">
    <w:name w:val="xl68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kern w:val="0"/>
      <w:sz w:val="16"/>
      <w:szCs w:val="16"/>
      <w:lang w:eastAsia="hr-HR"/>
    </w:rPr>
  </w:style>
  <w:style w:type="paragraph" w:customStyle="1" w:styleId="xl69">
    <w:name w:val="xl69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</w:rPr>
  </w:style>
  <w:style w:type="paragraph" w:customStyle="1" w:styleId="xl70">
    <w:name w:val="xl70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</w:rPr>
  </w:style>
  <w:style w:type="paragraph" w:customStyle="1" w:styleId="xl71">
    <w:name w:val="xl71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</w:rPr>
  </w:style>
  <w:style w:type="paragraph" w:customStyle="1" w:styleId="xl72">
    <w:name w:val="xl72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</w:rPr>
  </w:style>
  <w:style w:type="paragraph" w:customStyle="1" w:styleId="xl73">
    <w:name w:val="xl73"/>
    <w:basedOn w:val="Normal"/>
    <w:rsid w:val="00D4138E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lang w:eastAsia="hr-HR"/>
    </w:rPr>
  </w:style>
  <w:style w:type="paragraph" w:customStyle="1" w:styleId="xl74">
    <w:name w:val="xl74"/>
    <w:basedOn w:val="Normal"/>
    <w:rsid w:val="00D4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75">
    <w:name w:val="xl75"/>
    <w:basedOn w:val="Normal"/>
    <w:rsid w:val="00D4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76">
    <w:name w:val="xl76"/>
    <w:basedOn w:val="Normal"/>
    <w:rsid w:val="00D4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77">
    <w:name w:val="xl77"/>
    <w:basedOn w:val="Normal"/>
    <w:rsid w:val="00D4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78">
    <w:name w:val="xl78"/>
    <w:basedOn w:val="Normal"/>
    <w:rsid w:val="00D4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kern w:val="0"/>
      <w:sz w:val="16"/>
      <w:szCs w:val="16"/>
      <w:lang w:eastAsia="hr-HR"/>
    </w:rPr>
  </w:style>
  <w:style w:type="paragraph" w:customStyle="1" w:styleId="xl79">
    <w:name w:val="xl79"/>
    <w:basedOn w:val="Normal"/>
    <w:rsid w:val="00D4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E400-4E03-44A3-9FC3-AB1B3CE8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20</Pages>
  <Words>5950</Words>
  <Characters>33917</Characters>
  <Application>Microsoft Office Word</Application>
  <DocSecurity>0</DocSecurity>
  <Lines>282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Rajić</dc:creator>
  <cp:keywords/>
  <dc:description/>
  <cp:lastModifiedBy>Lena Rajić</cp:lastModifiedBy>
  <cp:revision>171</cp:revision>
  <cp:lastPrinted>2026-02-23T08:55:00Z</cp:lastPrinted>
  <dcterms:created xsi:type="dcterms:W3CDTF">2025-03-04T08:06:00Z</dcterms:created>
  <dcterms:modified xsi:type="dcterms:W3CDTF">2026-03-06T09:04:00Z</dcterms:modified>
</cp:coreProperties>
</file>